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037" w:rsidRDefault="00F71037">
      <w:r>
        <w:rPr>
          <w:rFonts w:ascii="Times New Roman"/>
          <w:b/>
          <w:noProof/>
          <w:position w:val="-1"/>
          <w:sz w:val="20"/>
          <w:lang w:val="es-EC" w:eastAsia="es-EC" w:bidi="ar-SA"/>
        </w:rPr>
        <w:drawing>
          <wp:anchor distT="0" distB="0" distL="114300" distR="114300" simplePos="0" relativeHeight="251657216" behindDoc="1" locked="0" layoutInCell="1" allowOverlap="1" wp14:anchorId="707978F1" wp14:editId="1BF519F1">
            <wp:simplePos x="0" y="0"/>
            <wp:positionH relativeFrom="column">
              <wp:posOffset>-1138858</wp:posOffset>
            </wp:positionH>
            <wp:positionV relativeFrom="page">
              <wp:posOffset>-117446</wp:posOffset>
            </wp:positionV>
            <wp:extent cx="7657940" cy="10832281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enerica 1-04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57940" cy="108322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Pr="00F71037" w:rsidRDefault="00AF7AF3" w:rsidP="00F71037">
      <w:r>
        <w:rPr>
          <w:noProof/>
          <w:lang w:val="es-EC" w:eastAsia="es-EC" w:bidi="ar-SA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9D9082D" wp14:editId="49D085FB">
                <wp:simplePos x="0" y="0"/>
                <wp:positionH relativeFrom="column">
                  <wp:posOffset>914400</wp:posOffset>
                </wp:positionH>
                <wp:positionV relativeFrom="paragraph">
                  <wp:posOffset>74930</wp:posOffset>
                </wp:positionV>
                <wp:extent cx="3540760" cy="3540760"/>
                <wp:effectExtent l="0" t="0" r="15240" b="15240"/>
                <wp:wrapThrough wrapText="bothSides">
                  <wp:wrapPolygon edited="0">
                    <wp:start x="0" y="0"/>
                    <wp:lineTo x="0" y="21538"/>
                    <wp:lineTo x="21538" y="21538"/>
                    <wp:lineTo x="21538" y="0"/>
                    <wp:lineTo x="0" y="0"/>
                  </wp:wrapPolygon>
                </wp:wrapThrough>
                <wp:docPr id="40" name="Agrupar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40760" cy="3540760"/>
                          <a:chOff x="0" y="0"/>
                          <a:chExt cx="3540760" cy="3540760"/>
                        </a:xfrm>
                      </wpg:grpSpPr>
                      <wps:wsp>
                        <wps:cNvPr id="1" name="Cuadro de texto 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540760" cy="3540760"/>
                          </a:xfrm>
                          <a:prstGeom prst="rect">
                            <a:avLst/>
                          </a:prstGeom>
                          <a:noFill/>
                          <a:ln w="19126">
                            <a:solidFill>
                              <a:srgbClr val="676A6B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FAA26D3D-D897-4be2-8F04-BA451C77F1D7}">
                              <ma14:placeholderFlag xmlns:ma14="http://schemas.microsoft.com/office/mac/drawingml/2011/main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  <a:ext uri="{C572A759-6A51-4108-AA02-DFA0A04FC94B}">
                              <ma14:wrappingTextBoxFlag xmlns:ma14="http://schemas.microsoft.com/office/mac/drawingml/2011/main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wps:spPr>
                        <wps:txbx>
                          <w:txbxContent>
                            <w:p w:rsidR="00473A52" w:rsidRDefault="00A94D39" w:rsidP="00473A52">
                              <w:pPr>
                                <w:pStyle w:val="Textoindependiente"/>
                                <w:spacing w:before="426" w:line="196" w:lineRule="auto"/>
                                <w:ind w:left="418"/>
                              </w:pPr>
                              <w:r>
                                <w:rPr>
                                  <w:color w:val="676A6B"/>
                                </w:rPr>
                                <w:t>ENCUESTA NACIONALDE SALUD Y NUTRICIÓN</w:t>
                              </w:r>
                            </w:p>
                            <w:p w:rsidR="00473A52" w:rsidRDefault="00A94D39" w:rsidP="00473A52">
                              <w:pPr>
                                <w:spacing w:before="524"/>
                                <w:ind w:left="418"/>
                                <w:rPr>
                                  <w:sz w:val="39"/>
                                </w:rPr>
                              </w:pPr>
                              <w:r>
                                <w:rPr>
                                  <w:color w:val="929494"/>
                                  <w:sz w:val="39"/>
                                </w:rPr>
                                <w:t>Junio</w:t>
                              </w:r>
                              <w:r w:rsidR="00473A52">
                                <w:rPr>
                                  <w:color w:val="929494"/>
                                  <w:sz w:val="39"/>
                                </w:rPr>
                                <w:t>,</w:t>
                              </w:r>
                              <w:r w:rsidR="00473A52">
                                <w:rPr>
                                  <w:color w:val="929494"/>
                                  <w:spacing w:val="5"/>
                                  <w:sz w:val="39"/>
                                </w:rPr>
                                <w:t xml:space="preserve"> </w:t>
                              </w:r>
                              <w:r w:rsidR="00473A52">
                                <w:rPr>
                                  <w:color w:val="929494"/>
                                  <w:sz w:val="39"/>
                                </w:rPr>
                                <w:t>2018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" name="Conector recto 3"/>
                        <wps:cNvCnPr/>
                        <wps:spPr>
                          <a:xfrm>
                            <a:off x="352337" y="2743200"/>
                            <a:ext cx="56959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>
                                <a:lumMod val="65000"/>
                                <a:lumOff val="3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Agrupar 40" o:spid="_x0000_s1026" style="position:absolute;margin-left:1in;margin-top:5.9pt;width:278.8pt;height:278.8pt;z-index:251660288" coordsize="35407,354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7" type="#_x0000_t202" style="position:absolute;width:35407;height:354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v3pL8A&#10;AADaAAAADwAAAGRycy9kb3ducmV2LnhtbERPS4vCMBC+C/sfwix4EU31IFKNsrgW9+oDdo9jMrbF&#10;ZlKSqN1/bwTB0/DxPWex6mwjbuRD7VjBeJSBINbO1FwqOB6K4QxEiMgGG8ek4J8CrJYfvQXmxt15&#10;R7d9LEUK4ZCjgirGNpcy6IoshpFriRN3dt5iTNCX0ni8p3DbyEmWTaXFmlNDhS2tK9KX/dUqGJz+&#10;Llsv62+3wfV2oyfj35kulOp/dl9zEJG6+Ba/3D8mzYfnK88rl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G/ekvwAAANoAAAAPAAAAAAAAAAAAAAAAAJgCAABkcnMvZG93bnJl&#10;di54bWxQSwUGAAAAAAQABAD1AAAAhAMAAAAA&#10;" filled="f" strokecolor="#676a6b" strokeweight=".53128mm">
                  <v:textbox inset="0,0,0,0">
                    <w:txbxContent>
                      <w:p w:rsidR="00473A52" w:rsidRDefault="00A94D39" w:rsidP="00473A52">
                        <w:pPr>
                          <w:pStyle w:val="Textoindependiente"/>
                          <w:spacing w:before="426" w:line="196" w:lineRule="auto"/>
                          <w:ind w:left="418"/>
                        </w:pPr>
                        <w:r>
                          <w:rPr>
                            <w:color w:val="676A6B"/>
                          </w:rPr>
                          <w:t>ENCUESTA NACIONALDE SALUD Y NUTRICIÓN</w:t>
                        </w:r>
                      </w:p>
                      <w:p w:rsidR="00473A52" w:rsidRDefault="00A94D39" w:rsidP="00473A52">
                        <w:pPr>
                          <w:spacing w:before="524"/>
                          <w:ind w:left="418"/>
                          <w:rPr>
                            <w:sz w:val="39"/>
                          </w:rPr>
                        </w:pPr>
                        <w:r>
                          <w:rPr>
                            <w:color w:val="929494"/>
                            <w:sz w:val="39"/>
                          </w:rPr>
                          <w:t>Junio</w:t>
                        </w:r>
                        <w:r w:rsidR="00473A52">
                          <w:rPr>
                            <w:color w:val="929494"/>
                            <w:sz w:val="39"/>
                          </w:rPr>
                          <w:t>,</w:t>
                        </w:r>
                        <w:r w:rsidR="00473A52">
                          <w:rPr>
                            <w:color w:val="929494"/>
                            <w:spacing w:val="5"/>
                            <w:sz w:val="39"/>
                          </w:rPr>
                          <w:t xml:space="preserve"> </w:t>
                        </w:r>
                        <w:r w:rsidR="00473A52">
                          <w:rPr>
                            <w:color w:val="929494"/>
                            <w:sz w:val="39"/>
                          </w:rPr>
                          <w:t>2018</w:t>
                        </w:r>
                      </w:p>
                    </w:txbxContent>
                  </v:textbox>
                </v:shape>
                <v:line id="Conector recto 3" o:spid="_x0000_s1028" style="position:absolute;visibility:visible;mso-wrap-style:square" from="3523,27432" to="9219,27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mvPbsMAAADaAAAADwAAAGRycy9kb3ducmV2LnhtbESPQWvCQBSE7wX/w/IEL0U3URBJs4oI&#10;AcFear14e2Rfk7R5b2N2o+m/7xYKPQ4z8w2T70Zu1Z163zgxkC4SUCSls41UBi7vxXwDygcUi60T&#10;MvBNHnbbyVOOmXUPeaP7OVQqQsRnaKAOocu09mVNjH7hOpLofbieMUTZV9r2+IhwbvUySdaasZG4&#10;UGNHh5rKr/PABmh1Qj7tb5+vyXUzpM8F6zUvjZlNx/0LqEBj+A//tY/WwAp+r8QboL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Jrz27DAAAA2gAAAA8AAAAAAAAAAAAA&#10;AAAAoQIAAGRycy9kb3ducmV2LnhtbFBLBQYAAAAABAAEAPkAAACRAwAAAAA=&#10;" strokecolor="#5a5a5a [2109]" strokeweight="1pt">
                  <v:stroke joinstyle="miter"/>
                </v:line>
                <w10:wrap type="through"/>
              </v:group>
            </w:pict>
          </mc:Fallback>
        </mc:AlternateContent>
      </w:r>
    </w:p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Pr="00F71037" w:rsidRDefault="00F71037" w:rsidP="00F71037"/>
    <w:p w:rsidR="00F71037" w:rsidRDefault="00F71037" w:rsidP="00F71037"/>
    <w:p w:rsidR="00F71037" w:rsidRDefault="00F71037" w:rsidP="00F71037"/>
    <w:p w:rsidR="00795C2F" w:rsidRPr="00795C2F" w:rsidRDefault="00DC528A" w:rsidP="00795C2F">
      <w:pPr>
        <w:rPr>
          <w:rFonts w:cs="Calibri"/>
          <w:b/>
          <w:color w:val="595959" w:themeColor="text1" w:themeTint="A6"/>
          <w:sz w:val="28"/>
        </w:rPr>
      </w:pPr>
      <w:r>
        <w:rPr>
          <w:rFonts w:cs="Calibri"/>
          <w:b/>
          <w:color w:val="595959" w:themeColor="text1" w:themeTint="A6"/>
          <w:sz w:val="28"/>
        </w:rPr>
        <w:t>Encuesta Nacional de Salud y Nutrición</w:t>
      </w:r>
    </w:p>
    <w:p w:rsidR="00795C2F" w:rsidRPr="00795C2F" w:rsidRDefault="00795C2F" w:rsidP="00795C2F">
      <w:pPr>
        <w:rPr>
          <w:rFonts w:cs="Calibri"/>
          <w:b/>
          <w:color w:val="595959" w:themeColor="text1" w:themeTint="A6"/>
        </w:rPr>
      </w:pPr>
    </w:p>
    <w:p w:rsidR="00795C2F" w:rsidRPr="00795C2F" w:rsidRDefault="00795C2F" w:rsidP="00795C2F">
      <w:pPr>
        <w:rPr>
          <w:rFonts w:cs="Calibri"/>
          <w:b/>
          <w:color w:val="595959" w:themeColor="text1" w:themeTint="A6"/>
          <w:u w:val="single"/>
        </w:rPr>
      </w:pPr>
    </w:p>
    <w:p w:rsidR="00795C2F" w:rsidRPr="00795C2F" w:rsidRDefault="00CF3689" w:rsidP="00795C2F">
      <w:pPr>
        <w:rPr>
          <w:rFonts w:cs="Calibri"/>
          <w:b/>
          <w:color w:val="595959" w:themeColor="text1" w:themeTint="A6"/>
        </w:rPr>
      </w:pPr>
      <w:r>
        <w:rPr>
          <w:rFonts w:cs="Calibri"/>
          <w:b/>
          <w:color w:val="595959" w:themeColor="text1" w:themeTint="A6"/>
        </w:rPr>
        <w:t>Informe de prueba de funcionamiento de formularios</w:t>
      </w:r>
    </w:p>
    <w:p w:rsidR="00795C2F" w:rsidRPr="00795C2F" w:rsidRDefault="00795C2F" w:rsidP="00795C2F">
      <w:pPr>
        <w:rPr>
          <w:rFonts w:cs="Calibri"/>
          <w:b/>
          <w:color w:val="595959" w:themeColor="text1" w:themeTint="A6"/>
        </w:rPr>
      </w:pPr>
    </w:p>
    <w:p w:rsidR="00795C2F" w:rsidRPr="00795C2F" w:rsidRDefault="00795C2F" w:rsidP="00795C2F">
      <w:pPr>
        <w:rPr>
          <w:rFonts w:cs="Calibri"/>
          <w:b/>
          <w:color w:val="595959" w:themeColor="text1" w:themeTint="A6"/>
        </w:rPr>
      </w:pPr>
    </w:p>
    <w:p w:rsidR="00795C2F" w:rsidRDefault="00916CD4" w:rsidP="00795C2F">
      <w:pPr>
        <w:pStyle w:val="Prrafodelista"/>
        <w:numPr>
          <w:ilvl w:val="0"/>
          <w:numId w:val="1"/>
        </w:numPr>
        <w:rPr>
          <w:rFonts w:ascii="Century Gothic" w:hAnsi="Century Gothic" w:cs="Calibri"/>
          <w:b/>
          <w:color w:val="7F7F7F" w:themeColor="text1" w:themeTint="80"/>
          <w:sz w:val="22"/>
          <w:szCs w:val="22"/>
        </w:rPr>
      </w:pPr>
      <w:r>
        <w:rPr>
          <w:rFonts w:ascii="Century Gothic" w:hAnsi="Century Gothic" w:cs="Calibri"/>
          <w:b/>
          <w:color w:val="7F7F7F" w:themeColor="text1" w:themeTint="80"/>
          <w:sz w:val="22"/>
          <w:szCs w:val="22"/>
        </w:rPr>
        <w:t xml:space="preserve">Objetivos </w:t>
      </w:r>
    </w:p>
    <w:p w:rsidR="008B5640" w:rsidRDefault="008B5640" w:rsidP="008B5640">
      <w:pPr>
        <w:pStyle w:val="Prrafodelista"/>
        <w:ind w:left="360"/>
        <w:rPr>
          <w:rFonts w:ascii="Century Gothic" w:hAnsi="Century Gothic" w:cs="Calibri"/>
          <w:b/>
          <w:color w:val="7F7F7F" w:themeColor="text1" w:themeTint="80"/>
          <w:sz w:val="22"/>
          <w:szCs w:val="22"/>
        </w:rPr>
      </w:pPr>
    </w:p>
    <w:p w:rsidR="008B5640" w:rsidRDefault="008B5640" w:rsidP="008B5640">
      <w:pPr>
        <w:pStyle w:val="Prrafodelista"/>
        <w:numPr>
          <w:ilvl w:val="1"/>
          <w:numId w:val="1"/>
        </w:numPr>
        <w:rPr>
          <w:rFonts w:ascii="Century Gothic" w:hAnsi="Century Gothic" w:cs="Calibri"/>
          <w:b/>
          <w:color w:val="7F7F7F" w:themeColor="text1" w:themeTint="80"/>
          <w:sz w:val="20"/>
          <w:szCs w:val="22"/>
        </w:rPr>
      </w:pPr>
      <w:r>
        <w:rPr>
          <w:rFonts w:ascii="Century Gothic" w:hAnsi="Century Gothic" w:cs="Calibri"/>
          <w:b/>
          <w:color w:val="7F7F7F" w:themeColor="text1" w:themeTint="80"/>
          <w:sz w:val="20"/>
          <w:szCs w:val="22"/>
        </w:rPr>
        <w:t>Objetivo General</w:t>
      </w:r>
    </w:p>
    <w:p w:rsidR="008B5640" w:rsidRDefault="008B5640" w:rsidP="008B5640">
      <w:pPr>
        <w:rPr>
          <w:rFonts w:cs="Calibri"/>
          <w:b/>
          <w:color w:val="7F7F7F" w:themeColor="text1" w:themeTint="80"/>
          <w:sz w:val="20"/>
        </w:rPr>
      </w:pPr>
    </w:p>
    <w:p w:rsidR="008B5640" w:rsidRPr="00BD1015" w:rsidRDefault="00CF3689" w:rsidP="008B5640">
      <w:pPr>
        <w:jc w:val="both"/>
        <w:rPr>
          <w:rFonts w:cs="Calibri"/>
          <w:color w:val="7F7F7F" w:themeColor="text1" w:themeTint="80"/>
          <w:sz w:val="20"/>
        </w:rPr>
      </w:pPr>
      <w:r>
        <w:rPr>
          <w:rFonts w:cs="Calibri"/>
          <w:color w:val="7F7F7F" w:themeColor="text1" w:themeTint="80"/>
          <w:sz w:val="20"/>
        </w:rPr>
        <w:t>Verificar los tiempos de diligenciamiento de los formularios y revisar la consistencia de los mismos</w:t>
      </w:r>
      <w:r w:rsidR="008B5640" w:rsidRPr="00BD1015">
        <w:rPr>
          <w:rFonts w:cs="Calibri"/>
          <w:color w:val="7F7F7F" w:themeColor="text1" w:themeTint="80"/>
          <w:sz w:val="20"/>
        </w:rPr>
        <w:t>.</w:t>
      </w:r>
    </w:p>
    <w:p w:rsidR="008B5640" w:rsidRPr="00BD1015" w:rsidRDefault="008B5640" w:rsidP="008B5640">
      <w:pPr>
        <w:jc w:val="both"/>
        <w:rPr>
          <w:rFonts w:cs="Calibri"/>
          <w:color w:val="7F7F7F" w:themeColor="text1" w:themeTint="80"/>
          <w:sz w:val="20"/>
        </w:rPr>
      </w:pPr>
    </w:p>
    <w:p w:rsidR="008B5640" w:rsidRDefault="008B5640" w:rsidP="008B5640">
      <w:pPr>
        <w:pStyle w:val="Prrafodelista"/>
        <w:numPr>
          <w:ilvl w:val="1"/>
          <w:numId w:val="1"/>
        </w:numPr>
        <w:rPr>
          <w:rFonts w:ascii="Century Gothic" w:hAnsi="Century Gothic" w:cs="Calibri"/>
          <w:b/>
          <w:color w:val="7F7F7F" w:themeColor="text1" w:themeTint="80"/>
          <w:sz w:val="20"/>
          <w:szCs w:val="22"/>
        </w:rPr>
      </w:pPr>
      <w:r>
        <w:rPr>
          <w:rFonts w:ascii="Century Gothic" w:hAnsi="Century Gothic" w:cs="Calibri"/>
          <w:b/>
          <w:color w:val="7F7F7F" w:themeColor="text1" w:themeTint="80"/>
          <w:sz w:val="20"/>
          <w:szCs w:val="22"/>
        </w:rPr>
        <w:t>Objetivos específicos</w:t>
      </w:r>
    </w:p>
    <w:p w:rsidR="008B5640" w:rsidRDefault="008B5640" w:rsidP="008B5640">
      <w:pPr>
        <w:pStyle w:val="Prrafodelista"/>
        <w:ind w:left="792"/>
        <w:rPr>
          <w:rFonts w:ascii="Century Gothic" w:hAnsi="Century Gothic" w:cs="Calibri"/>
          <w:b/>
          <w:color w:val="7F7F7F" w:themeColor="text1" w:themeTint="80"/>
          <w:sz w:val="20"/>
          <w:szCs w:val="22"/>
        </w:rPr>
      </w:pPr>
    </w:p>
    <w:p w:rsidR="008B5640" w:rsidRPr="00BD1015" w:rsidRDefault="00CF3689" w:rsidP="008B5640">
      <w:pPr>
        <w:pStyle w:val="Prrafodelista"/>
        <w:numPr>
          <w:ilvl w:val="0"/>
          <w:numId w:val="3"/>
        </w:numPr>
        <w:jc w:val="both"/>
        <w:rPr>
          <w:rFonts w:ascii="Century Gothic" w:eastAsia="Century Gothic" w:hAnsi="Century Gothic" w:cs="Calibri"/>
          <w:color w:val="7F7F7F" w:themeColor="text1" w:themeTint="80"/>
          <w:sz w:val="20"/>
          <w:szCs w:val="22"/>
          <w:lang w:val="es-ES" w:eastAsia="es-ES" w:bidi="es-ES"/>
        </w:rPr>
      </w:pPr>
      <w:r>
        <w:rPr>
          <w:rFonts w:ascii="Century Gothic" w:eastAsia="Century Gothic" w:hAnsi="Century Gothic" w:cs="Calibri"/>
          <w:color w:val="7F7F7F" w:themeColor="text1" w:themeTint="80"/>
          <w:sz w:val="20"/>
          <w:szCs w:val="22"/>
          <w:lang w:val="es-ES" w:eastAsia="es-ES" w:bidi="es-ES"/>
        </w:rPr>
        <w:t>Revisar la redacción y claridad de las preguntas</w:t>
      </w:r>
      <w:r w:rsidR="008B5640" w:rsidRPr="00BD1015">
        <w:rPr>
          <w:rFonts w:ascii="Century Gothic" w:eastAsia="Century Gothic" w:hAnsi="Century Gothic" w:cs="Calibri"/>
          <w:color w:val="7F7F7F" w:themeColor="text1" w:themeTint="80"/>
          <w:sz w:val="20"/>
          <w:szCs w:val="22"/>
          <w:lang w:val="es-ES" w:eastAsia="es-ES" w:bidi="es-ES"/>
        </w:rPr>
        <w:t>.</w:t>
      </w:r>
    </w:p>
    <w:p w:rsidR="008B5640" w:rsidRDefault="00CF3689" w:rsidP="00DC528A">
      <w:pPr>
        <w:pStyle w:val="Prrafodelista"/>
        <w:numPr>
          <w:ilvl w:val="0"/>
          <w:numId w:val="3"/>
        </w:numPr>
        <w:jc w:val="both"/>
        <w:rPr>
          <w:rFonts w:ascii="Century Gothic" w:eastAsia="Century Gothic" w:hAnsi="Century Gothic" w:cs="Calibri"/>
          <w:color w:val="7F7F7F" w:themeColor="text1" w:themeTint="80"/>
          <w:sz w:val="20"/>
          <w:szCs w:val="22"/>
          <w:lang w:val="es-ES" w:eastAsia="es-ES" w:bidi="es-ES"/>
        </w:rPr>
      </w:pPr>
      <w:r>
        <w:rPr>
          <w:rFonts w:ascii="Century Gothic" w:eastAsia="Century Gothic" w:hAnsi="Century Gothic" w:cs="Calibri"/>
          <w:color w:val="7F7F7F" w:themeColor="text1" w:themeTint="80"/>
          <w:sz w:val="20"/>
          <w:szCs w:val="22"/>
          <w:lang w:val="es-ES" w:eastAsia="es-ES" w:bidi="es-ES"/>
        </w:rPr>
        <w:t>Controlar los flujos de las variables y el correcto funcionamiento de los formularios</w:t>
      </w:r>
      <w:r w:rsidR="00DC528A" w:rsidRPr="00DC528A">
        <w:rPr>
          <w:rFonts w:ascii="Century Gothic" w:eastAsia="Century Gothic" w:hAnsi="Century Gothic" w:cs="Calibri"/>
          <w:color w:val="7F7F7F" w:themeColor="text1" w:themeTint="80"/>
          <w:sz w:val="20"/>
          <w:szCs w:val="22"/>
          <w:lang w:val="es-ES" w:eastAsia="es-ES" w:bidi="es-ES"/>
        </w:rPr>
        <w:t>.</w:t>
      </w:r>
    </w:p>
    <w:p w:rsidR="00DC528A" w:rsidRPr="00DC528A" w:rsidRDefault="00DC528A" w:rsidP="00DC528A">
      <w:pPr>
        <w:pStyle w:val="Prrafodelista"/>
        <w:ind w:left="360"/>
        <w:jc w:val="both"/>
        <w:rPr>
          <w:rFonts w:ascii="Century Gothic" w:eastAsia="Century Gothic" w:hAnsi="Century Gothic" w:cs="Calibri"/>
          <w:color w:val="7F7F7F" w:themeColor="text1" w:themeTint="80"/>
          <w:sz w:val="20"/>
          <w:szCs w:val="22"/>
          <w:lang w:val="es-ES" w:eastAsia="es-ES" w:bidi="es-ES"/>
        </w:rPr>
      </w:pPr>
    </w:p>
    <w:p w:rsidR="008B5640" w:rsidRPr="008B5640" w:rsidRDefault="008B5640" w:rsidP="008B5640">
      <w:pPr>
        <w:rPr>
          <w:rFonts w:cs="Calibri"/>
          <w:b/>
          <w:color w:val="7F7F7F" w:themeColor="text1" w:themeTint="80"/>
        </w:rPr>
      </w:pPr>
    </w:p>
    <w:p w:rsidR="008B5640" w:rsidRDefault="00CF3689" w:rsidP="008B5640">
      <w:pPr>
        <w:pStyle w:val="Prrafodelista"/>
        <w:numPr>
          <w:ilvl w:val="0"/>
          <w:numId w:val="1"/>
        </w:numPr>
        <w:jc w:val="both"/>
        <w:rPr>
          <w:rFonts w:ascii="Century Gothic" w:hAnsi="Century Gothic" w:cs="Calibri"/>
          <w:b/>
          <w:color w:val="7F7F7F" w:themeColor="text1" w:themeTint="80"/>
          <w:sz w:val="22"/>
          <w:szCs w:val="22"/>
        </w:rPr>
      </w:pPr>
      <w:r>
        <w:rPr>
          <w:rFonts w:ascii="Century Gothic" w:hAnsi="Century Gothic" w:cs="Calibri"/>
          <w:b/>
          <w:color w:val="7F7F7F" w:themeColor="text1" w:themeTint="80"/>
          <w:sz w:val="22"/>
          <w:szCs w:val="22"/>
        </w:rPr>
        <w:t>Logística de la prueba de funcionamiento</w:t>
      </w:r>
    </w:p>
    <w:p w:rsidR="001F0576" w:rsidRDefault="001F0576" w:rsidP="001F0576">
      <w:pPr>
        <w:pStyle w:val="Prrafodelista"/>
        <w:ind w:left="360"/>
        <w:jc w:val="both"/>
        <w:rPr>
          <w:rFonts w:ascii="Century Gothic" w:hAnsi="Century Gothic" w:cs="Calibri"/>
          <w:b/>
          <w:color w:val="7F7F7F" w:themeColor="text1" w:themeTint="80"/>
          <w:sz w:val="22"/>
          <w:szCs w:val="22"/>
        </w:rPr>
      </w:pPr>
    </w:p>
    <w:p w:rsidR="009E3BC2" w:rsidRDefault="009E3BC2" w:rsidP="00CF3689">
      <w:pPr>
        <w:jc w:val="both"/>
        <w:rPr>
          <w:rFonts w:cs="Calibri"/>
          <w:color w:val="7F7F7F" w:themeColor="text1" w:themeTint="80"/>
        </w:rPr>
      </w:pPr>
      <w:r>
        <w:rPr>
          <w:rFonts w:cs="Calibri"/>
          <w:color w:val="7F7F7F" w:themeColor="text1" w:themeTint="80"/>
        </w:rPr>
        <w:t>Se probaron los siguientes formularios:</w:t>
      </w:r>
    </w:p>
    <w:p w:rsidR="009E3BC2" w:rsidRDefault="009E3BC2" w:rsidP="00CF3689">
      <w:pPr>
        <w:jc w:val="both"/>
        <w:rPr>
          <w:rFonts w:cs="Calibri"/>
          <w:color w:val="7F7F7F" w:themeColor="text1" w:themeTint="80"/>
        </w:rPr>
      </w:pPr>
    </w:p>
    <w:p w:rsidR="009E3BC2" w:rsidRDefault="009E3BC2" w:rsidP="009E3BC2">
      <w:pPr>
        <w:pStyle w:val="Prrafodelista"/>
        <w:numPr>
          <w:ilvl w:val="0"/>
          <w:numId w:val="7"/>
        </w:numPr>
        <w:jc w:val="both"/>
        <w:rPr>
          <w:rFonts w:ascii="Century Gothic" w:eastAsia="Century Gothic" w:hAnsi="Century Gothic" w:cs="Calibri"/>
          <w:color w:val="7F7F7F" w:themeColor="text1" w:themeTint="80"/>
          <w:sz w:val="22"/>
          <w:szCs w:val="22"/>
          <w:lang w:val="es-ES" w:eastAsia="es-ES" w:bidi="es-ES"/>
        </w:rPr>
      </w:pPr>
      <w:r w:rsidRPr="00765059">
        <w:rPr>
          <w:rFonts w:ascii="Century Gothic" w:eastAsia="Century Gothic" w:hAnsi="Century Gothic" w:cs="Calibri"/>
          <w:color w:val="7F7F7F" w:themeColor="text1" w:themeTint="80"/>
          <w:sz w:val="22"/>
          <w:szCs w:val="22"/>
          <w:lang w:val="es-ES" w:eastAsia="es-ES" w:bidi="es-ES"/>
        </w:rPr>
        <w:t>Formulario 1</w:t>
      </w:r>
      <w:r>
        <w:rPr>
          <w:rFonts w:ascii="Century Gothic" w:eastAsia="Century Gothic" w:hAnsi="Century Gothic" w:cs="Calibri"/>
          <w:color w:val="7F7F7F" w:themeColor="text1" w:themeTint="80"/>
          <w:sz w:val="22"/>
          <w:szCs w:val="22"/>
          <w:lang w:val="es-ES" w:eastAsia="es-ES" w:bidi="es-ES"/>
        </w:rPr>
        <w:t>. Hogar</w:t>
      </w:r>
    </w:p>
    <w:p w:rsidR="009E3BC2" w:rsidRDefault="009E3BC2" w:rsidP="009E3BC2">
      <w:pPr>
        <w:pStyle w:val="Prrafodelista"/>
        <w:numPr>
          <w:ilvl w:val="0"/>
          <w:numId w:val="7"/>
        </w:numPr>
        <w:jc w:val="both"/>
        <w:rPr>
          <w:rFonts w:ascii="Century Gothic" w:eastAsia="Century Gothic" w:hAnsi="Century Gothic" w:cs="Calibri"/>
          <w:color w:val="7F7F7F" w:themeColor="text1" w:themeTint="80"/>
          <w:sz w:val="22"/>
          <w:szCs w:val="22"/>
          <w:lang w:val="es-ES" w:eastAsia="es-ES" w:bidi="es-ES"/>
        </w:rPr>
      </w:pPr>
      <w:r>
        <w:rPr>
          <w:rFonts w:ascii="Century Gothic" w:eastAsia="Century Gothic" w:hAnsi="Century Gothic" w:cs="Calibri"/>
          <w:color w:val="7F7F7F" w:themeColor="text1" w:themeTint="80"/>
          <w:sz w:val="22"/>
          <w:szCs w:val="22"/>
          <w:lang w:val="es-ES" w:eastAsia="es-ES" w:bidi="es-ES"/>
        </w:rPr>
        <w:t>Formulario 2. Mujeres en edad fértil (12 a 49 años de edad)</w:t>
      </w:r>
    </w:p>
    <w:p w:rsidR="009E3BC2" w:rsidRPr="00765059" w:rsidRDefault="009E3BC2" w:rsidP="009E3BC2">
      <w:pPr>
        <w:pStyle w:val="Prrafodelista"/>
        <w:numPr>
          <w:ilvl w:val="0"/>
          <w:numId w:val="7"/>
        </w:numPr>
        <w:jc w:val="both"/>
        <w:rPr>
          <w:rFonts w:ascii="Century Gothic" w:eastAsia="Century Gothic" w:hAnsi="Century Gothic" w:cs="Calibri"/>
          <w:color w:val="7F7F7F" w:themeColor="text1" w:themeTint="80"/>
          <w:sz w:val="22"/>
          <w:szCs w:val="22"/>
          <w:lang w:val="es-ES" w:eastAsia="es-ES" w:bidi="es-ES"/>
        </w:rPr>
      </w:pPr>
      <w:r>
        <w:rPr>
          <w:rFonts w:ascii="Century Gothic" w:eastAsia="Century Gothic" w:hAnsi="Century Gothic" w:cs="Calibri"/>
          <w:color w:val="7F7F7F" w:themeColor="text1" w:themeTint="80"/>
          <w:sz w:val="22"/>
          <w:szCs w:val="22"/>
          <w:lang w:val="es-ES" w:eastAsia="es-ES" w:bidi="es-ES"/>
        </w:rPr>
        <w:t>Formulario 3. Salud sexual y reproductiva en hombres (12 años y más)</w:t>
      </w:r>
    </w:p>
    <w:p w:rsidR="009E3BC2" w:rsidRPr="00765059" w:rsidRDefault="009E3BC2" w:rsidP="009E3BC2">
      <w:pPr>
        <w:pStyle w:val="Prrafodelista"/>
        <w:numPr>
          <w:ilvl w:val="0"/>
          <w:numId w:val="7"/>
        </w:numPr>
        <w:jc w:val="both"/>
        <w:rPr>
          <w:rFonts w:ascii="Century Gothic" w:eastAsia="Century Gothic" w:hAnsi="Century Gothic" w:cs="Calibri"/>
          <w:color w:val="7F7F7F" w:themeColor="text1" w:themeTint="80"/>
          <w:sz w:val="22"/>
          <w:szCs w:val="22"/>
          <w:lang w:val="es-ES" w:eastAsia="es-ES" w:bidi="es-ES"/>
        </w:rPr>
      </w:pPr>
      <w:r w:rsidRPr="00765059">
        <w:rPr>
          <w:rFonts w:ascii="Century Gothic" w:eastAsia="Century Gothic" w:hAnsi="Century Gothic" w:cs="Calibri"/>
          <w:color w:val="7F7F7F" w:themeColor="text1" w:themeTint="80"/>
          <w:sz w:val="22"/>
          <w:szCs w:val="22"/>
          <w:lang w:val="es-ES" w:eastAsia="es-ES" w:bidi="es-ES"/>
        </w:rPr>
        <w:t>Formulario 4. Factores de riesgo en escolares (5 a 17 años de edad)</w:t>
      </w:r>
    </w:p>
    <w:p w:rsidR="009E3BC2" w:rsidRDefault="009E3BC2" w:rsidP="00CF3689">
      <w:pPr>
        <w:jc w:val="both"/>
        <w:rPr>
          <w:rFonts w:cs="Calibri"/>
          <w:color w:val="7F7F7F" w:themeColor="text1" w:themeTint="80"/>
        </w:rPr>
      </w:pPr>
    </w:p>
    <w:p w:rsidR="004D1A00" w:rsidRDefault="00CF3689" w:rsidP="00CF3689">
      <w:pPr>
        <w:jc w:val="both"/>
        <w:rPr>
          <w:rFonts w:cs="Calibri"/>
          <w:color w:val="7F7F7F" w:themeColor="text1" w:themeTint="80"/>
        </w:rPr>
      </w:pPr>
      <w:r>
        <w:rPr>
          <w:rFonts w:cs="Calibri"/>
          <w:color w:val="7F7F7F" w:themeColor="text1" w:themeTint="80"/>
        </w:rPr>
        <w:t>El trabajo se realizó en dos sectores de la provincia de Pichincha, en dos días de trabajo.</w:t>
      </w:r>
    </w:p>
    <w:p w:rsidR="00CF3689" w:rsidRDefault="00CF3689" w:rsidP="00CF3689">
      <w:pPr>
        <w:jc w:val="both"/>
        <w:rPr>
          <w:rFonts w:cs="Calibri"/>
          <w:color w:val="7F7F7F" w:themeColor="text1" w:themeTint="80"/>
        </w:rPr>
      </w:pPr>
    </w:p>
    <w:p w:rsidR="00CF3689" w:rsidRDefault="00CF3689" w:rsidP="00CF3689">
      <w:pPr>
        <w:jc w:val="both"/>
        <w:rPr>
          <w:rFonts w:cs="Calibri"/>
          <w:color w:val="7F7F7F" w:themeColor="text1" w:themeTint="80"/>
        </w:rPr>
      </w:pPr>
      <w:r>
        <w:rPr>
          <w:rFonts w:cs="Calibri"/>
          <w:color w:val="7F7F7F" w:themeColor="text1" w:themeTint="80"/>
        </w:rPr>
        <w:t xml:space="preserve">El primer día se trabajó en el sector Guamaní del cantón Quito, probando 2 de los formularios; 1. Hogar y 4. Factores de Riesgo. </w:t>
      </w:r>
    </w:p>
    <w:p w:rsidR="00CF3689" w:rsidRDefault="00CF3689" w:rsidP="00CF3689">
      <w:pPr>
        <w:jc w:val="both"/>
        <w:rPr>
          <w:rFonts w:cs="Calibri"/>
          <w:color w:val="7F7F7F" w:themeColor="text1" w:themeTint="80"/>
        </w:rPr>
      </w:pPr>
    </w:p>
    <w:p w:rsidR="00CF3689" w:rsidRDefault="00CF3689" w:rsidP="00CF3689">
      <w:pPr>
        <w:jc w:val="both"/>
        <w:rPr>
          <w:rFonts w:cs="Calibri"/>
          <w:color w:val="7F7F7F" w:themeColor="text1" w:themeTint="80"/>
        </w:rPr>
      </w:pPr>
      <w:r>
        <w:rPr>
          <w:rFonts w:cs="Calibri"/>
          <w:color w:val="7F7F7F" w:themeColor="text1" w:themeTint="80"/>
        </w:rPr>
        <w:t>El segundo día se trabajó en el cantón Mejía, en el sector de la Joya, probando  2 formularios; 2. Mujeres en edad fértil y 3. Salud sexual y reproductiva en hombres de 12 años y más.</w:t>
      </w:r>
    </w:p>
    <w:p w:rsidR="00CF3689" w:rsidRDefault="00CF3689" w:rsidP="00CF3689">
      <w:pPr>
        <w:jc w:val="both"/>
        <w:rPr>
          <w:rFonts w:cs="Calibri"/>
          <w:color w:val="7F7F7F" w:themeColor="text1" w:themeTint="80"/>
        </w:rPr>
      </w:pPr>
    </w:p>
    <w:p w:rsidR="00B71BC0" w:rsidRPr="00D04503" w:rsidRDefault="00CF3689" w:rsidP="00CF3689">
      <w:pPr>
        <w:jc w:val="both"/>
        <w:rPr>
          <w:rFonts w:cs="Calibri"/>
          <w:color w:val="7F7F7F" w:themeColor="text1" w:themeTint="80"/>
        </w:rPr>
      </w:pPr>
      <w:r>
        <w:rPr>
          <w:rFonts w:cs="Calibri"/>
          <w:color w:val="7F7F7F" w:themeColor="text1" w:themeTint="80"/>
        </w:rPr>
        <w:t>Se organizó 6 equipos de trabajo, en cada uno de ellos se contaba con la presencia de una persona del INEC y una persona de las instituciones miembro de la Subcomisión de Salud y Nutrición</w:t>
      </w:r>
      <w:r w:rsidR="00B71BC0">
        <w:rPr>
          <w:rFonts w:cs="Calibri"/>
          <w:color w:val="7F7F7F" w:themeColor="text1" w:themeTint="80"/>
        </w:rPr>
        <w:t>. Cada equipo trabajó 2 formularios de cada uno.</w:t>
      </w:r>
    </w:p>
    <w:p w:rsidR="004D1A00" w:rsidRDefault="004D1A00" w:rsidP="004D1A00">
      <w:pPr>
        <w:rPr>
          <w:rFonts w:cs="Calibri"/>
          <w:b/>
          <w:color w:val="7F7F7F" w:themeColor="text1" w:themeTint="80"/>
        </w:rPr>
      </w:pPr>
    </w:p>
    <w:p w:rsidR="004D1A00" w:rsidRDefault="00B71BC0" w:rsidP="004D1A00">
      <w:pPr>
        <w:pStyle w:val="Prrafodelista"/>
        <w:numPr>
          <w:ilvl w:val="0"/>
          <w:numId w:val="1"/>
        </w:numPr>
        <w:jc w:val="both"/>
        <w:rPr>
          <w:rFonts w:ascii="Century Gothic" w:hAnsi="Century Gothic" w:cs="Calibri"/>
          <w:b/>
          <w:color w:val="7F7F7F" w:themeColor="text1" w:themeTint="80"/>
          <w:sz w:val="22"/>
          <w:szCs w:val="22"/>
        </w:rPr>
      </w:pPr>
      <w:r>
        <w:rPr>
          <w:rFonts w:ascii="Century Gothic" w:hAnsi="Century Gothic" w:cs="Calibri"/>
          <w:b/>
          <w:color w:val="7F7F7F" w:themeColor="text1" w:themeTint="80"/>
          <w:sz w:val="22"/>
          <w:szCs w:val="22"/>
        </w:rPr>
        <w:t>Resultados</w:t>
      </w:r>
    </w:p>
    <w:p w:rsidR="004D1A00" w:rsidRDefault="004D1A00" w:rsidP="004D1A00">
      <w:pPr>
        <w:pStyle w:val="Prrafodelista"/>
        <w:ind w:left="360"/>
        <w:jc w:val="both"/>
        <w:rPr>
          <w:rFonts w:ascii="Century Gothic" w:hAnsi="Century Gothic" w:cs="Calibri"/>
          <w:b/>
          <w:color w:val="7F7F7F" w:themeColor="text1" w:themeTint="80"/>
          <w:sz w:val="22"/>
          <w:szCs w:val="22"/>
        </w:rPr>
      </w:pPr>
    </w:p>
    <w:p w:rsidR="004D1A00" w:rsidRDefault="00765059" w:rsidP="00CF3689">
      <w:pPr>
        <w:jc w:val="both"/>
        <w:rPr>
          <w:rFonts w:cs="Calibri"/>
          <w:color w:val="7F7F7F" w:themeColor="text1" w:themeTint="80"/>
        </w:rPr>
      </w:pPr>
      <w:r>
        <w:rPr>
          <w:rFonts w:cs="Calibri"/>
          <w:color w:val="7F7F7F" w:themeColor="text1" w:themeTint="80"/>
        </w:rPr>
        <w:t>En cuanto a los tiempos de diligenciamiento se obtuvo lo siguiente:</w:t>
      </w:r>
    </w:p>
    <w:p w:rsidR="00AD3291" w:rsidRDefault="00AD3291" w:rsidP="00CF3689">
      <w:pPr>
        <w:jc w:val="both"/>
        <w:rPr>
          <w:rFonts w:cs="Calibri"/>
          <w:color w:val="7F7F7F" w:themeColor="text1" w:themeTint="80"/>
        </w:rPr>
      </w:pPr>
    </w:p>
    <w:p w:rsidR="00AD3291" w:rsidRDefault="00AD3291" w:rsidP="00CF3689">
      <w:pPr>
        <w:jc w:val="both"/>
        <w:rPr>
          <w:rFonts w:cs="Calibri"/>
          <w:color w:val="7F7F7F" w:themeColor="text1" w:themeTint="80"/>
        </w:rPr>
      </w:pPr>
    </w:p>
    <w:p w:rsidR="00AD3291" w:rsidRDefault="00AD3291" w:rsidP="00CF3689">
      <w:pPr>
        <w:jc w:val="both"/>
        <w:rPr>
          <w:rFonts w:cs="Calibri"/>
          <w:color w:val="7F7F7F" w:themeColor="text1" w:themeTint="80"/>
        </w:rPr>
      </w:pPr>
    </w:p>
    <w:tbl>
      <w:tblPr>
        <w:tblStyle w:val="Sombreadoclaro-nfasis3"/>
        <w:tblW w:w="4204" w:type="dxa"/>
        <w:jc w:val="center"/>
        <w:tblLook w:val="04A0" w:firstRow="1" w:lastRow="0" w:firstColumn="1" w:lastColumn="0" w:noHBand="0" w:noVBand="1"/>
      </w:tblPr>
      <w:tblGrid>
        <w:gridCol w:w="2000"/>
        <w:gridCol w:w="2204"/>
      </w:tblGrid>
      <w:tr w:rsidR="00AD3291" w:rsidRPr="00AD3291" w:rsidTr="00AD32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0" w:type="dxa"/>
            <w:noWrap/>
            <w:hideMark/>
          </w:tcPr>
          <w:p w:rsidR="00AD3291" w:rsidRPr="00AD3291" w:rsidRDefault="00AD3291" w:rsidP="00AD3291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000000"/>
                <w:lang w:val="es-EC" w:eastAsia="es-EC" w:bidi="ar-SA"/>
              </w:rPr>
            </w:pPr>
            <w:r w:rsidRPr="00AD3291">
              <w:rPr>
                <w:rFonts w:eastAsia="Times New Roman" w:cs="Times New Roman"/>
                <w:color w:val="000000"/>
                <w:lang w:val="es-EC" w:eastAsia="es-EC" w:bidi="ar-SA"/>
              </w:rPr>
              <w:lastRenderedPageBreak/>
              <w:t>Formulario</w:t>
            </w:r>
          </w:p>
        </w:tc>
        <w:tc>
          <w:tcPr>
            <w:tcW w:w="2204" w:type="dxa"/>
            <w:hideMark/>
          </w:tcPr>
          <w:p w:rsidR="00AD3291" w:rsidRPr="00AD3291" w:rsidRDefault="00AD3291" w:rsidP="00AD3291">
            <w:pPr>
              <w:widowControl/>
              <w:autoSpaceDE/>
              <w:autoSpaceDN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lang w:val="es-EC" w:eastAsia="es-EC" w:bidi="ar-SA"/>
              </w:rPr>
            </w:pPr>
            <w:r w:rsidRPr="00AD3291">
              <w:rPr>
                <w:rFonts w:eastAsia="Times New Roman" w:cs="Times New Roman"/>
                <w:color w:val="000000"/>
                <w:lang w:val="es-EC" w:eastAsia="es-EC" w:bidi="ar-SA"/>
              </w:rPr>
              <w:t>Promedio de tiempo en minutos</w:t>
            </w:r>
          </w:p>
        </w:tc>
      </w:tr>
      <w:tr w:rsidR="00AD3291" w:rsidRPr="00AD3291" w:rsidTr="00AD32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0" w:type="dxa"/>
            <w:noWrap/>
            <w:hideMark/>
          </w:tcPr>
          <w:p w:rsidR="00AD3291" w:rsidRPr="00AD3291" w:rsidRDefault="00AD3291" w:rsidP="00AD3291">
            <w:pPr>
              <w:widowControl/>
              <w:autoSpaceDE/>
              <w:autoSpaceDN/>
              <w:rPr>
                <w:rFonts w:eastAsia="Times New Roman" w:cs="Times New Roman"/>
                <w:b w:val="0"/>
                <w:color w:val="000000"/>
                <w:lang w:val="es-EC" w:eastAsia="es-EC" w:bidi="ar-SA"/>
              </w:rPr>
            </w:pPr>
            <w:r w:rsidRPr="00AD3291">
              <w:rPr>
                <w:rFonts w:eastAsia="Times New Roman" w:cs="Times New Roman"/>
                <w:b w:val="0"/>
                <w:color w:val="000000"/>
                <w:lang w:val="es-EC" w:eastAsia="es-EC" w:bidi="ar-SA"/>
              </w:rPr>
              <w:t>1. Hogar</w:t>
            </w:r>
          </w:p>
        </w:tc>
        <w:tc>
          <w:tcPr>
            <w:tcW w:w="2204" w:type="dxa"/>
            <w:noWrap/>
            <w:hideMark/>
          </w:tcPr>
          <w:p w:rsidR="00AD3291" w:rsidRPr="00AD3291" w:rsidRDefault="00AD3291" w:rsidP="00AD3291">
            <w:pPr>
              <w:widowControl/>
              <w:autoSpaceDE/>
              <w:autoSpaceDN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lang w:val="es-EC" w:eastAsia="es-EC" w:bidi="ar-SA"/>
              </w:rPr>
            </w:pPr>
            <w:r w:rsidRPr="00AD3291">
              <w:rPr>
                <w:rFonts w:eastAsia="Times New Roman" w:cs="Times New Roman"/>
                <w:color w:val="000000"/>
                <w:lang w:val="es-EC" w:eastAsia="es-EC" w:bidi="ar-SA"/>
              </w:rPr>
              <w:t>56</w:t>
            </w:r>
          </w:p>
        </w:tc>
      </w:tr>
      <w:tr w:rsidR="00AD3291" w:rsidRPr="00AD3291" w:rsidTr="00AD3291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0" w:type="dxa"/>
            <w:noWrap/>
            <w:hideMark/>
          </w:tcPr>
          <w:p w:rsidR="00AD3291" w:rsidRPr="00AD3291" w:rsidRDefault="00AD3291" w:rsidP="00AD3291">
            <w:pPr>
              <w:widowControl/>
              <w:autoSpaceDE/>
              <w:autoSpaceDN/>
              <w:rPr>
                <w:rFonts w:eastAsia="Times New Roman" w:cs="Times New Roman"/>
                <w:b w:val="0"/>
                <w:color w:val="000000"/>
                <w:lang w:val="es-EC" w:eastAsia="es-EC" w:bidi="ar-SA"/>
              </w:rPr>
            </w:pPr>
            <w:r w:rsidRPr="00AD3291">
              <w:rPr>
                <w:rFonts w:eastAsia="Times New Roman" w:cs="Times New Roman"/>
                <w:b w:val="0"/>
                <w:color w:val="000000"/>
                <w:lang w:val="es-EC" w:eastAsia="es-EC" w:bidi="ar-SA"/>
              </w:rPr>
              <w:t>2. MEF</w:t>
            </w:r>
          </w:p>
        </w:tc>
        <w:tc>
          <w:tcPr>
            <w:tcW w:w="2204" w:type="dxa"/>
            <w:noWrap/>
            <w:hideMark/>
          </w:tcPr>
          <w:p w:rsidR="00AD3291" w:rsidRPr="00AD3291" w:rsidRDefault="00AD3291" w:rsidP="00AD3291">
            <w:pPr>
              <w:widowControl/>
              <w:autoSpaceDE/>
              <w:autoSpaceDN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lang w:val="es-EC" w:eastAsia="es-EC" w:bidi="ar-SA"/>
              </w:rPr>
            </w:pPr>
            <w:r w:rsidRPr="00AD3291">
              <w:rPr>
                <w:rFonts w:eastAsia="Times New Roman" w:cs="Times New Roman"/>
                <w:color w:val="000000"/>
                <w:lang w:val="es-EC" w:eastAsia="es-EC" w:bidi="ar-SA"/>
              </w:rPr>
              <w:t>58</w:t>
            </w:r>
          </w:p>
        </w:tc>
      </w:tr>
      <w:tr w:rsidR="00AD3291" w:rsidRPr="00AD3291" w:rsidTr="00AD32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0" w:type="dxa"/>
            <w:noWrap/>
            <w:hideMark/>
          </w:tcPr>
          <w:p w:rsidR="00AD3291" w:rsidRPr="00AD3291" w:rsidRDefault="00AD3291" w:rsidP="00AD3291">
            <w:pPr>
              <w:widowControl/>
              <w:autoSpaceDE/>
              <w:autoSpaceDN/>
              <w:rPr>
                <w:rFonts w:eastAsia="Times New Roman" w:cs="Times New Roman"/>
                <w:b w:val="0"/>
                <w:color w:val="000000"/>
                <w:lang w:val="es-EC" w:eastAsia="es-EC" w:bidi="ar-SA"/>
              </w:rPr>
            </w:pPr>
            <w:r w:rsidRPr="00AD3291">
              <w:rPr>
                <w:rFonts w:eastAsia="Times New Roman" w:cs="Times New Roman"/>
                <w:b w:val="0"/>
                <w:color w:val="000000"/>
                <w:lang w:val="es-EC" w:eastAsia="es-EC" w:bidi="ar-SA"/>
              </w:rPr>
              <w:t>3. SSR Hombres</w:t>
            </w:r>
          </w:p>
        </w:tc>
        <w:tc>
          <w:tcPr>
            <w:tcW w:w="2204" w:type="dxa"/>
            <w:noWrap/>
            <w:hideMark/>
          </w:tcPr>
          <w:p w:rsidR="00AD3291" w:rsidRPr="00AD3291" w:rsidRDefault="00AD3291" w:rsidP="00AD3291">
            <w:pPr>
              <w:widowControl/>
              <w:autoSpaceDE/>
              <w:autoSpaceDN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lang w:val="es-EC" w:eastAsia="es-EC" w:bidi="ar-SA"/>
              </w:rPr>
            </w:pPr>
            <w:r w:rsidRPr="00AD3291">
              <w:rPr>
                <w:rFonts w:eastAsia="Times New Roman" w:cs="Times New Roman"/>
                <w:color w:val="000000"/>
                <w:lang w:val="es-EC" w:eastAsia="es-EC" w:bidi="ar-SA"/>
              </w:rPr>
              <w:t>14</w:t>
            </w:r>
          </w:p>
        </w:tc>
      </w:tr>
      <w:tr w:rsidR="00AD3291" w:rsidRPr="00AD3291" w:rsidTr="00AD3291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0" w:type="dxa"/>
            <w:noWrap/>
            <w:hideMark/>
          </w:tcPr>
          <w:p w:rsidR="00AD3291" w:rsidRPr="00AD3291" w:rsidRDefault="00AD3291" w:rsidP="00AD3291">
            <w:pPr>
              <w:widowControl/>
              <w:autoSpaceDE/>
              <w:autoSpaceDN/>
              <w:rPr>
                <w:rFonts w:eastAsia="Times New Roman" w:cs="Times New Roman"/>
                <w:b w:val="0"/>
                <w:color w:val="000000"/>
                <w:lang w:val="es-EC" w:eastAsia="es-EC" w:bidi="ar-SA"/>
              </w:rPr>
            </w:pPr>
            <w:r w:rsidRPr="00AD3291">
              <w:rPr>
                <w:rFonts w:eastAsia="Times New Roman" w:cs="Times New Roman"/>
                <w:b w:val="0"/>
                <w:color w:val="000000"/>
                <w:lang w:val="es-EC" w:eastAsia="es-EC" w:bidi="ar-SA"/>
              </w:rPr>
              <w:t>4. Factores</w:t>
            </w:r>
          </w:p>
        </w:tc>
        <w:tc>
          <w:tcPr>
            <w:tcW w:w="2204" w:type="dxa"/>
            <w:noWrap/>
            <w:hideMark/>
          </w:tcPr>
          <w:p w:rsidR="00AD3291" w:rsidRPr="00AD3291" w:rsidRDefault="00AD3291" w:rsidP="00AD3291">
            <w:pPr>
              <w:widowControl/>
              <w:autoSpaceDE/>
              <w:autoSpaceDN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lang w:val="es-EC" w:eastAsia="es-EC" w:bidi="ar-SA"/>
              </w:rPr>
            </w:pPr>
            <w:r w:rsidRPr="00AD3291">
              <w:rPr>
                <w:rFonts w:eastAsia="Times New Roman" w:cs="Times New Roman"/>
                <w:color w:val="000000"/>
                <w:lang w:val="es-EC" w:eastAsia="es-EC" w:bidi="ar-SA"/>
              </w:rPr>
              <w:t>10</w:t>
            </w:r>
          </w:p>
        </w:tc>
      </w:tr>
      <w:tr w:rsidR="00AD3291" w:rsidRPr="00AD3291" w:rsidTr="00AD32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0" w:type="dxa"/>
            <w:noWrap/>
            <w:hideMark/>
          </w:tcPr>
          <w:p w:rsidR="00AD3291" w:rsidRPr="00AD3291" w:rsidRDefault="00AD3291" w:rsidP="00AD3291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EC" w:eastAsia="es-EC" w:bidi="ar-SA"/>
              </w:rPr>
            </w:pPr>
            <w:r w:rsidRPr="00AD3291">
              <w:rPr>
                <w:rFonts w:eastAsia="Times New Roman" w:cs="Times New Roman"/>
                <w:color w:val="000000"/>
                <w:lang w:val="es-EC" w:eastAsia="es-EC" w:bidi="ar-SA"/>
              </w:rPr>
              <w:t>Total</w:t>
            </w:r>
          </w:p>
        </w:tc>
        <w:tc>
          <w:tcPr>
            <w:tcW w:w="2204" w:type="dxa"/>
            <w:noWrap/>
            <w:hideMark/>
          </w:tcPr>
          <w:p w:rsidR="00AD3291" w:rsidRPr="00AD3291" w:rsidRDefault="00AD3291" w:rsidP="00AD3291">
            <w:pPr>
              <w:widowControl/>
              <w:autoSpaceDE/>
              <w:autoSpaceDN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lang w:val="es-EC" w:eastAsia="es-EC" w:bidi="ar-SA"/>
              </w:rPr>
            </w:pPr>
            <w:r w:rsidRPr="00AD3291">
              <w:rPr>
                <w:rFonts w:eastAsia="Times New Roman" w:cs="Times New Roman"/>
                <w:color w:val="000000"/>
                <w:lang w:val="es-EC" w:eastAsia="es-EC" w:bidi="ar-SA"/>
              </w:rPr>
              <w:t>138</w:t>
            </w:r>
          </w:p>
        </w:tc>
      </w:tr>
      <w:tr w:rsidR="00AD3291" w:rsidRPr="00AD3291" w:rsidTr="00AD3291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0" w:type="dxa"/>
            <w:noWrap/>
            <w:hideMark/>
          </w:tcPr>
          <w:p w:rsidR="00AD3291" w:rsidRPr="00AD3291" w:rsidRDefault="00AD3291" w:rsidP="00AD3291">
            <w:pPr>
              <w:widowControl/>
              <w:autoSpaceDE/>
              <w:autoSpaceDN/>
              <w:rPr>
                <w:rFonts w:eastAsia="Times New Roman" w:cs="Times New Roman"/>
                <w:color w:val="000000"/>
                <w:lang w:val="es-EC" w:eastAsia="es-EC" w:bidi="ar-SA"/>
              </w:rPr>
            </w:pPr>
            <w:r w:rsidRPr="00AD3291">
              <w:rPr>
                <w:rFonts w:eastAsia="Times New Roman" w:cs="Times New Roman"/>
                <w:color w:val="000000"/>
                <w:lang w:val="es-EC" w:eastAsia="es-EC" w:bidi="ar-SA"/>
              </w:rPr>
              <w:t>Tiempo en horas*</w:t>
            </w:r>
          </w:p>
        </w:tc>
        <w:tc>
          <w:tcPr>
            <w:tcW w:w="2204" w:type="dxa"/>
            <w:noWrap/>
            <w:hideMark/>
          </w:tcPr>
          <w:p w:rsidR="00AD3291" w:rsidRPr="00AD3291" w:rsidRDefault="00AD3291" w:rsidP="00AD3291">
            <w:pPr>
              <w:widowControl/>
              <w:autoSpaceDE/>
              <w:autoSpaceDN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lang w:val="es-EC" w:eastAsia="es-EC" w:bidi="ar-SA"/>
              </w:rPr>
            </w:pPr>
            <w:r w:rsidRPr="00AD3291">
              <w:rPr>
                <w:rFonts w:eastAsia="Times New Roman" w:cs="Times New Roman"/>
                <w:color w:val="000000"/>
                <w:lang w:val="es-EC" w:eastAsia="es-EC" w:bidi="ar-SA"/>
              </w:rPr>
              <w:t>2 h 18 m</w:t>
            </w:r>
          </w:p>
        </w:tc>
      </w:tr>
    </w:tbl>
    <w:p w:rsidR="004D1A00" w:rsidRPr="00AD3291" w:rsidRDefault="00AD3291" w:rsidP="004D1A00">
      <w:pPr>
        <w:pStyle w:val="Prrafodelista"/>
        <w:ind w:left="360"/>
        <w:jc w:val="both"/>
        <w:rPr>
          <w:rFonts w:ascii="Century Gothic" w:hAnsi="Century Gothic" w:cs="Calibri"/>
          <w:color w:val="7F7F7F" w:themeColor="text1" w:themeTint="80"/>
          <w:sz w:val="22"/>
          <w:szCs w:val="22"/>
        </w:rPr>
      </w:pPr>
      <w:r w:rsidRPr="00AD3291">
        <w:rPr>
          <w:rFonts w:ascii="Century Gothic" w:hAnsi="Century Gothic" w:cs="Calibri"/>
          <w:color w:val="7F7F7F" w:themeColor="text1" w:themeTint="80"/>
          <w:sz w:val="18"/>
          <w:szCs w:val="22"/>
        </w:rPr>
        <w:t>*Sin información antropométrica</w:t>
      </w:r>
    </w:p>
    <w:p w:rsidR="009E3BC2" w:rsidRDefault="009E3BC2" w:rsidP="004D1A00">
      <w:pPr>
        <w:pStyle w:val="Prrafodelista"/>
        <w:ind w:left="360"/>
        <w:jc w:val="both"/>
        <w:rPr>
          <w:rFonts w:ascii="Century Gothic" w:hAnsi="Century Gothic" w:cs="Calibri"/>
          <w:b/>
          <w:color w:val="7F7F7F" w:themeColor="text1" w:themeTint="80"/>
          <w:sz w:val="22"/>
          <w:szCs w:val="22"/>
        </w:rPr>
      </w:pPr>
    </w:p>
    <w:p w:rsidR="009E3BC2" w:rsidRDefault="00883CF3" w:rsidP="00883CF3">
      <w:pPr>
        <w:pStyle w:val="Prrafodelista"/>
        <w:ind w:left="0"/>
        <w:jc w:val="both"/>
        <w:rPr>
          <w:rFonts w:ascii="Century Gothic" w:eastAsia="Century Gothic" w:hAnsi="Century Gothic" w:cs="Calibri"/>
          <w:color w:val="7F7F7F" w:themeColor="text1" w:themeTint="80"/>
          <w:sz w:val="20"/>
          <w:szCs w:val="22"/>
          <w:lang w:val="es-ES" w:eastAsia="es-ES" w:bidi="es-ES"/>
        </w:rPr>
      </w:pPr>
      <w:r w:rsidRPr="00883CF3">
        <w:rPr>
          <w:rFonts w:ascii="Century Gothic" w:eastAsia="Century Gothic" w:hAnsi="Century Gothic" w:cs="Calibri"/>
          <w:color w:val="7F7F7F" w:themeColor="text1" w:themeTint="80"/>
          <w:sz w:val="20"/>
          <w:szCs w:val="22"/>
          <w:lang w:val="es-ES" w:eastAsia="es-ES" w:bidi="es-ES"/>
        </w:rPr>
        <w:t>En cuanto al</w:t>
      </w:r>
      <w:r>
        <w:rPr>
          <w:rFonts w:ascii="Century Gothic" w:eastAsia="Century Gothic" w:hAnsi="Century Gothic" w:cs="Calibri"/>
          <w:color w:val="7F7F7F" w:themeColor="text1" w:themeTint="80"/>
          <w:sz w:val="20"/>
          <w:szCs w:val="22"/>
          <w:lang w:val="es-ES" w:eastAsia="es-ES" w:bidi="es-ES"/>
        </w:rPr>
        <w:t xml:space="preserve"> correcto funcionamiento de los formularios</w:t>
      </w:r>
      <w:r w:rsidRPr="00883CF3">
        <w:rPr>
          <w:rFonts w:ascii="Century Gothic" w:eastAsia="Century Gothic" w:hAnsi="Century Gothic" w:cs="Calibri"/>
          <w:color w:val="7F7F7F" w:themeColor="text1" w:themeTint="80"/>
          <w:sz w:val="20"/>
          <w:szCs w:val="22"/>
          <w:lang w:val="es-ES" w:eastAsia="es-ES" w:bidi="es-ES"/>
        </w:rPr>
        <w:t xml:space="preserve"> y los </w:t>
      </w:r>
      <w:r>
        <w:rPr>
          <w:rFonts w:ascii="Century Gothic" w:eastAsia="Century Gothic" w:hAnsi="Century Gothic" w:cs="Calibri"/>
          <w:color w:val="7F7F7F" w:themeColor="text1" w:themeTint="80"/>
          <w:sz w:val="20"/>
          <w:szCs w:val="22"/>
          <w:lang w:val="es-ES" w:eastAsia="es-ES" w:bidi="es-ES"/>
        </w:rPr>
        <w:t xml:space="preserve">flujos de las </w:t>
      </w:r>
      <w:r>
        <w:rPr>
          <w:rFonts w:ascii="Century Gothic" w:eastAsia="Century Gothic" w:hAnsi="Century Gothic" w:cs="Calibri"/>
          <w:color w:val="7F7F7F" w:themeColor="text1" w:themeTint="80"/>
          <w:sz w:val="20"/>
          <w:szCs w:val="22"/>
          <w:lang w:val="es-ES" w:eastAsia="es-ES" w:bidi="es-ES"/>
        </w:rPr>
        <w:t>variables se observó lo siguiente:</w:t>
      </w:r>
      <w:r>
        <w:rPr>
          <w:rFonts w:ascii="Century Gothic" w:eastAsia="Century Gothic" w:hAnsi="Century Gothic" w:cs="Calibri"/>
          <w:color w:val="7F7F7F" w:themeColor="text1" w:themeTint="80"/>
          <w:sz w:val="20"/>
          <w:szCs w:val="22"/>
          <w:lang w:val="es-ES" w:eastAsia="es-ES" w:bidi="es-ES"/>
        </w:rPr>
        <w:t xml:space="preserve"> </w:t>
      </w:r>
    </w:p>
    <w:p w:rsidR="00883CF3" w:rsidRDefault="00883CF3" w:rsidP="00883CF3">
      <w:pPr>
        <w:pStyle w:val="Prrafodelista"/>
        <w:ind w:left="0"/>
        <w:jc w:val="both"/>
        <w:rPr>
          <w:rFonts w:ascii="Century Gothic" w:eastAsia="Century Gothic" w:hAnsi="Century Gothic" w:cs="Calibri"/>
          <w:color w:val="7F7F7F" w:themeColor="text1" w:themeTint="80"/>
          <w:sz w:val="20"/>
          <w:szCs w:val="22"/>
          <w:lang w:val="es-ES" w:eastAsia="es-ES" w:bidi="es-ES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1071"/>
        <w:gridCol w:w="857"/>
        <w:gridCol w:w="1006"/>
        <w:gridCol w:w="2998"/>
        <w:gridCol w:w="2782"/>
      </w:tblGrid>
      <w:tr w:rsidR="00756D81" w:rsidRPr="00FF50F5" w:rsidTr="003F7975">
        <w:trPr>
          <w:trHeight w:val="300"/>
        </w:trPr>
        <w:tc>
          <w:tcPr>
            <w:tcW w:w="5000" w:type="pct"/>
            <w:gridSpan w:val="5"/>
            <w:noWrap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bCs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b/>
                <w:bCs/>
                <w:color w:val="7F7F7F" w:themeColor="text1" w:themeTint="80"/>
                <w:lang w:val="es-EC" w:eastAsia="es-EC" w:bidi="ar-SA"/>
              </w:rPr>
              <w:t>Prueba de funcionamiento de formularios ENSANUT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noWrap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bCs/>
                <w:color w:val="7F7F7F" w:themeColor="text1" w:themeTint="80"/>
                <w:lang w:val="es-EC" w:eastAsia="es-EC" w:bidi="ar-SA"/>
              </w:rPr>
            </w:pPr>
            <w:proofErr w:type="spellStart"/>
            <w:r w:rsidRPr="003F7975">
              <w:rPr>
                <w:rFonts w:eastAsia="Times New Roman" w:cs="Times New Roman"/>
                <w:b/>
                <w:bCs/>
                <w:color w:val="7F7F7F" w:themeColor="text1" w:themeTint="80"/>
                <w:lang w:val="es-EC" w:eastAsia="es-EC" w:bidi="ar-SA"/>
              </w:rPr>
              <w:t>Form</w:t>
            </w:r>
            <w:proofErr w:type="spellEnd"/>
            <w:r w:rsidRPr="00FF50F5">
              <w:rPr>
                <w:rFonts w:eastAsia="Times New Roman" w:cs="Times New Roman"/>
                <w:b/>
                <w:bCs/>
                <w:color w:val="7F7F7F" w:themeColor="text1" w:themeTint="80"/>
                <w:lang w:val="es-EC" w:eastAsia="es-EC" w:bidi="ar-SA"/>
              </w:rPr>
              <w:t>.</w:t>
            </w:r>
          </w:p>
        </w:tc>
        <w:tc>
          <w:tcPr>
            <w:tcW w:w="492" w:type="pct"/>
            <w:noWrap/>
            <w:hideMark/>
          </w:tcPr>
          <w:p w:rsidR="003F7975" w:rsidRPr="003F7975" w:rsidRDefault="003F7975" w:rsidP="00FF50F5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bCs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b/>
                <w:bCs/>
                <w:color w:val="7F7F7F" w:themeColor="text1" w:themeTint="80"/>
                <w:lang w:val="es-EC" w:eastAsia="es-EC" w:bidi="ar-SA"/>
              </w:rPr>
              <w:t>Secc</w:t>
            </w:r>
            <w:r w:rsidR="00FF50F5">
              <w:rPr>
                <w:rFonts w:eastAsia="Times New Roman" w:cs="Times New Roman"/>
                <w:b/>
                <w:bCs/>
                <w:color w:val="7F7F7F" w:themeColor="text1" w:themeTint="80"/>
                <w:lang w:val="es-EC" w:eastAsia="es-EC" w:bidi="ar-SA"/>
              </w:rPr>
              <w:t>.</w:t>
            </w:r>
          </w:p>
        </w:tc>
        <w:tc>
          <w:tcPr>
            <w:tcW w:w="577" w:type="pct"/>
            <w:noWrap/>
            <w:hideMark/>
          </w:tcPr>
          <w:p w:rsidR="003F7975" w:rsidRPr="003F7975" w:rsidRDefault="003F7975" w:rsidP="00FF50F5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bCs/>
                <w:color w:val="7F7F7F" w:themeColor="text1" w:themeTint="80"/>
                <w:lang w:val="es-EC" w:eastAsia="es-EC" w:bidi="ar-SA"/>
              </w:rPr>
            </w:pPr>
            <w:proofErr w:type="spellStart"/>
            <w:r w:rsidRPr="003F7975">
              <w:rPr>
                <w:rFonts w:eastAsia="Times New Roman" w:cs="Times New Roman"/>
                <w:b/>
                <w:bCs/>
                <w:color w:val="7F7F7F" w:themeColor="text1" w:themeTint="80"/>
                <w:lang w:val="es-EC" w:eastAsia="es-EC" w:bidi="ar-SA"/>
              </w:rPr>
              <w:t>Preg</w:t>
            </w:r>
            <w:proofErr w:type="spellEnd"/>
            <w:r w:rsidR="00FF50F5">
              <w:rPr>
                <w:rFonts w:eastAsia="Times New Roman" w:cs="Times New Roman"/>
                <w:b/>
                <w:bCs/>
                <w:color w:val="7F7F7F" w:themeColor="text1" w:themeTint="80"/>
                <w:lang w:val="es-EC" w:eastAsia="es-EC" w:bidi="ar-SA"/>
              </w:rPr>
              <w:t>.</w:t>
            </w:r>
          </w:p>
        </w:tc>
        <w:tc>
          <w:tcPr>
            <w:tcW w:w="1720" w:type="pct"/>
            <w:noWrap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bCs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b/>
                <w:bCs/>
                <w:color w:val="7F7F7F" w:themeColor="text1" w:themeTint="80"/>
                <w:lang w:val="es-EC" w:eastAsia="es-EC" w:bidi="ar-SA"/>
              </w:rPr>
              <w:t>Observaciones</w:t>
            </w:r>
          </w:p>
        </w:tc>
        <w:tc>
          <w:tcPr>
            <w:tcW w:w="1596" w:type="pct"/>
            <w:noWrap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center"/>
              <w:rPr>
                <w:rFonts w:eastAsia="Times New Roman" w:cs="Times New Roman"/>
                <w:b/>
                <w:bCs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b/>
                <w:bCs/>
                <w:color w:val="7F7F7F" w:themeColor="text1" w:themeTint="80"/>
                <w:lang w:val="es-EC" w:eastAsia="es-EC" w:bidi="ar-SA"/>
              </w:rPr>
              <w:t>Cambios</w:t>
            </w:r>
          </w:p>
        </w:tc>
      </w:tr>
      <w:tr w:rsidR="00756D81" w:rsidRPr="00FF50F5" w:rsidTr="003F7975">
        <w:trPr>
          <w:trHeight w:val="600"/>
        </w:trPr>
        <w:tc>
          <w:tcPr>
            <w:tcW w:w="615" w:type="pct"/>
            <w:vMerge w:val="restar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HOGAR</w:t>
            </w:r>
          </w:p>
        </w:tc>
        <w:tc>
          <w:tcPr>
            <w:tcW w:w="492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1</w:t>
            </w: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21 y 25, 26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Suena repetitiva la pregunta</w:t>
            </w:r>
          </w:p>
        </w:tc>
        <w:tc>
          <w:tcPr>
            <w:tcW w:w="1596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Revisión del ajuste de preguntas al interior del INEC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 w:val="restar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2</w:t>
            </w: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21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Revisar el flujo de categoría 1</w:t>
            </w:r>
          </w:p>
        </w:tc>
        <w:tc>
          <w:tcPr>
            <w:tcW w:w="1596" w:type="pct"/>
            <w:noWrap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Cambiar el orden de las categoría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29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Se sugiere eliminar</w:t>
            </w:r>
          </w:p>
        </w:tc>
        <w:tc>
          <w:tcPr>
            <w:tcW w:w="1596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30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Incrementar la categoría NO SABE</w:t>
            </w:r>
          </w:p>
        </w:tc>
        <w:tc>
          <w:tcPr>
            <w:tcW w:w="1596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28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sugiere cambiar la redacción</w:t>
            </w:r>
          </w:p>
        </w:tc>
        <w:tc>
          <w:tcPr>
            <w:tcW w:w="1596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analizar el cambio de redacción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38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Flujo debe ir de la categoría 3 a 7</w:t>
            </w:r>
          </w:p>
        </w:tc>
        <w:tc>
          <w:tcPr>
            <w:tcW w:w="1596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cambiar el flujo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45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Revisar dentro de las categoría la cocina con el RS</w:t>
            </w:r>
          </w:p>
        </w:tc>
        <w:tc>
          <w:tcPr>
            <w:tcW w:w="1596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Incluir las preguntas 11, 12 y 13 de sección 2 sobre discapacidad de ECV</w:t>
            </w:r>
          </w:p>
        </w:tc>
        <w:tc>
          <w:tcPr>
            <w:tcW w:w="1596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15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Eliminar, puesto que consta en factores de riesgo</w:t>
            </w:r>
          </w:p>
        </w:tc>
        <w:tc>
          <w:tcPr>
            <w:tcW w:w="1596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6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 w:val="restar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4</w:t>
            </w: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14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Eliminar las 2 alternativas</w:t>
            </w:r>
          </w:p>
        </w:tc>
        <w:tc>
          <w:tcPr>
            <w:tcW w:w="1596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Cambiar la redacción de manera que el informante registre la principal y eliminar las 2 alternativas siguientes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2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Modificar redacción según ECV</w:t>
            </w:r>
          </w:p>
        </w:tc>
        <w:tc>
          <w:tcPr>
            <w:tcW w:w="1596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7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Incluir categoría "En tratamiento"</w:t>
            </w:r>
          </w:p>
        </w:tc>
        <w:tc>
          <w:tcPr>
            <w:tcW w:w="1596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41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El flujo es a la 54</w:t>
            </w:r>
          </w:p>
        </w:tc>
        <w:tc>
          <w:tcPr>
            <w:tcW w:w="1596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6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41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Mejorar la redacción</w:t>
            </w:r>
          </w:p>
        </w:tc>
        <w:tc>
          <w:tcPr>
            <w:tcW w:w="1596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Igualar con ECV, dejando al final</w:t>
            </w:r>
            <w:r w:rsidRPr="00FF50F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 xml:space="preserve"> </w:t>
            </w: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que conste salud preventiva y visitas domiciliarias</w:t>
            </w:r>
          </w:p>
        </w:tc>
      </w:tr>
      <w:tr w:rsidR="00756D81" w:rsidRPr="00FF50F5" w:rsidTr="003F7975">
        <w:trPr>
          <w:trHeight w:val="6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47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Una alternativa</w:t>
            </w:r>
          </w:p>
        </w:tc>
        <w:tc>
          <w:tcPr>
            <w:tcW w:w="1596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Principalizar el servicio recibido. Adicionalmente se van a leer las categorías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58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Eliminar</w:t>
            </w:r>
          </w:p>
        </w:tc>
        <w:tc>
          <w:tcPr>
            <w:tcW w:w="1596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54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El flujo será ala 59</w:t>
            </w:r>
          </w:p>
        </w:tc>
        <w:tc>
          <w:tcPr>
            <w:tcW w:w="1596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55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Una alternativa</w:t>
            </w:r>
          </w:p>
        </w:tc>
        <w:tc>
          <w:tcPr>
            <w:tcW w:w="1596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62 y 63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Se mantienen las 3 alternativas de respuesta</w:t>
            </w:r>
          </w:p>
        </w:tc>
        <w:tc>
          <w:tcPr>
            <w:tcW w:w="1596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 w:val="restar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MEF</w:t>
            </w:r>
          </w:p>
        </w:tc>
        <w:tc>
          <w:tcPr>
            <w:tcW w:w="492" w:type="pct"/>
            <w:vMerge w:val="restar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2</w:t>
            </w: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211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Cambiar de lugar en temas de parto</w:t>
            </w:r>
          </w:p>
        </w:tc>
        <w:tc>
          <w:tcPr>
            <w:tcW w:w="1596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 xml:space="preserve">206 a 217 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Pasarla a salud en la niñez controles prenatales</w:t>
            </w:r>
          </w:p>
        </w:tc>
        <w:tc>
          <w:tcPr>
            <w:tcW w:w="1596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6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231, 232 y 233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Ubicarlas después del parto</w:t>
            </w:r>
          </w:p>
        </w:tc>
        <w:tc>
          <w:tcPr>
            <w:tcW w:w="1596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9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235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en las sesiones demostrativas sobre alimentación complementaria, eliminar las palabras Ministerio de Salud, puesto que pueden ser dadas por otras instituciones</w:t>
            </w:r>
          </w:p>
        </w:tc>
        <w:tc>
          <w:tcPr>
            <w:tcW w:w="1596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237 y 238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Eliminar, puesto que aún no se implementa el programa</w:t>
            </w:r>
          </w:p>
        </w:tc>
        <w:tc>
          <w:tcPr>
            <w:tcW w:w="1596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6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La sección de lactancia es menores de 3 años, se debe considerar niños nacidos a partir de diciembre de 2015</w:t>
            </w:r>
          </w:p>
        </w:tc>
        <w:tc>
          <w:tcPr>
            <w:tcW w:w="1596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 w:val="restar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3</w:t>
            </w: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307 y 308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Le dio/dieron</w:t>
            </w:r>
          </w:p>
        </w:tc>
        <w:tc>
          <w:tcPr>
            <w:tcW w:w="1596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323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Cambiar a después de la 320</w:t>
            </w:r>
          </w:p>
        </w:tc>
        <w:tc>
          <w:tcPr>
            <w:tcW w:w="1596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317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Eliminar</w:t>
            </w:r>
          </w:p>
        </w:tc>
        <w:tc>
          <w:tcPr>
            <w:tcW w:w="1596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325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Incrementar pregunta filtro de trabajo antes de la 325</w:t>
            </w:r>
          </w:p>
        </w:tc>
        <w:tc>
          <w:tcPr>
            <w:tcW w:w="1596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6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314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Categoría d, quitar la palabra blanca y eliminar de la c y d amarillos o tomates por dentro</w:t>
            </w:r>
          </w:p>
        </w:tc>
        <w:tc>
          <w:tcPr>
            <w:tcW w:w="1596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320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 xml:space="preserve">Dejar solo biberones, </w:t>
            </w: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lastRenderedPageBreak/>
              <w:t>quitar las palabras botella con chupón</w:t>
            </w:r>
          </w:p>
        </w:tc>
        <w:tc>
          <w:tcPr>
            <w:tcW w:w="1596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lastRenderedPageBreak/>
              <w:t> </w:t>
            </w:r>
          </w:p>
        </w:tc>
      </w:tr>
      <w:tr w:rsidR="00756D81" w:rsidRPr="00FF50F5" w:rsidTr="003F7975">
        <w:trPr>
          <w:trHeight w:val="6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 w:val="restar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4</w:t>
            </w: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409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Eliminar categoría c por signos de alarma y la redacción de la pregunta debe decir consejería/asesoría</w:t>
            </w:r>
          </w:p>
        </w:tc>
        <w:tc>
          <w:tcPr>
            <w:tcW w:w="1596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615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410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Colocar opción de meses</w:t>
            </w:r>
          </w:p>
        </w:tc>
        <w:tc>
          <w:tcPr>
            <w:tcW w:w="1596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475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Eliminar 475</w:t>
            </w:r>
          </w:p>
        </w:tc>
        <w:tc>
          <w:tcPr>
            <w:tcW w:w="1596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473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A dos dígitos</w:t>
            </w:r>
          </w:p>
        </w:tc>
        <w:tc>
          <w:tcPr>
            <w:tcW w:w="1596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6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440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Abrir para el primer año (12), segundo año (6) y de 3 a 5 (6); Únicamente para el último niño</w:t>
            </w:r>
          </w:p>
        </w:tc>
        <w:tc>
          <w:tcPr>
            <w:tcW w:w="1596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6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442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FF50F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Recibió</w:t>
            </w: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 xml:space="preserve"> consejería/</w:t>
            </w:r>
            <w:r w:rsidRPr="00FF50F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asesoría</w:t>
            </w: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 xml:space="preserve"> y en lugar de planificación familiar ubicar métodos anticonceptivos</w:t>
            </w:r>
          </w:p>
        </w:tc>
        <w:tc>
          <w:tcPr>
            <w:tcW w:w="1596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423 y 425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Añadir un dígito para decimal</w:t>
            </w:r>
          </w:p>
        </w:tc>
        <w:tc>
          <w:tcPr>
            <w:tcW w:w="1596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422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Antes de la 422, colocar carné del nacido vivo o libreta integral de salud</w:t>
            </w:r>
          </w:p>
        </w:tc>
        <w:tc>
          <w:tcPr>
            <w:tcW w:w="1596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443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Aún le sigue dando</w:t>
            </w:r>
          </w:p>
        </w:tc>
        <w:tc>
          <w:tcPr>
            <w:tcW w:w="1596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Incluir tamizaje neonatal al último niño en control</w:t>
            </w:r>
          </w:p>
        </w:tc>
        <w:tc>
          <w:tcPr>
            <w:tcW w:w="1596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 w:val="restar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5</w:t>
            </w: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501 y 502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No leer, registrar mediante observación de la 413 y 414</w:t>
            </w:r>
          </w:p>
        </w:tc>
        <w:tc>
          <w:tcPr>
            <w:tcW w:w="1596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504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Eliminar la k</w:t>
            </w:r>
          </w:p>
        </w:tc>
        <w:tc>
          <w:tcPr>
            <w:tcW w:w="1596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noWrap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504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c y e, pasar al final</w:t>
            </w:r>
          </w:p>
        </w:tc>
        <w:tc>
          <w:tcPr>
            <w:tcW w:w="1596" w:type="pct"/>
            <w:noWrap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513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Eliminar la categoría k</w:t>
            </w:r>
          </w:p>
        </w:tc>
        <w:tc>
          <w:tcPr>
            <w:tcW w:w="1596" w:type="pct"/>
            <w:noWrap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516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Se rompió el agua de fuente un día antes del parto</w:t>
            </w:r>
          </w:p>
        </w:tc>
        <w:tc>
          <w:tcPr>
            <w:tcW w:w="1596" w:type="pct"/>
            <w:noWrap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516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Eliminar la categoría c y d</w:t>
            </w:r>
          </w:p>
        </w:tc>
        <w:tc>
          <w:tcPr>
            <w:tcW w:w="1596" w:type="pct"/>
            <w:noWrap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219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El flujo es a la 519</w:t>
            </w:r>
          </w:p>
        </w:tc>
        <w:tc>
          <w:tcPr>
            <w:tcW w:w="1596" w:type="pct"/>
            <w:noWrap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530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Eliminar</w:t>
            </w:r>
          </w:p>
        </w:tc>
        <w:tc>
          <w:tcPr>
            <w:tcW w:w="1596" w:type="pct"/>
            <w:noWrap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533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Eliminar</w:t>
            </w:r>
          </w:p>
        </w:tc>
        <w:tc>
          <w:tcPr>
            <w:tcW w:w="1596" w:type="pct"/>
            <w:noWrap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 w:val="restart"/>
            <w:noWrap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6</w:t>
            </w:r>
          </w:p>
        </w:tc>
        <w:tc>
          <w:tcPr>
            <w:tcW w:w="577" w:type="pct"/>
            <w:noWrap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621, 622 y 623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Esterilizaron/ligaron</w:t>
            </w:r>
          </w:p>
        </w:tc>
        <w:tc>
          <w:tcPr>
            <w:tcW w:w="1596" w:type="pct"/>
            <w:noWrap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627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FF50F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Incluir VIH</w:t>
            </w: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/Sida en la categoría 4</w:t>
            </w:r>
          </w:p>
        </w:tc>
        <w:tc>
          <w:tcPr>
            <w:tcW w:w="1596" w:type="pct"/>
            <w:noWrap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624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Revisar el pase</w:t>
            </w:r>
          </w:p>
        </w:tc>
        <w:tc>
          <w:tcPr>
            <w:tcW w:w="1596" w:type="pct"/>
            <w:noWrap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noWrap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633 a 636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Eliminar</w:t>
            </w:r>
          </w:p>
        </w:tc>
        <w:tc>
          <w:tcPr>
            <w:tcW w:w="1596" w:type="pct"/>
            <w:noWrap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noWrap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8</w:t>
            </w:r>
          </w:p>
        </w:tc>
        <w:tc>
          <w:tcPr>
            <w:tcW w:w="577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801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Incluir categoría "Sexualidad"</w:t>
            </w:r>
          </w:p>
        </w:tc>
        <w:tc>
          <w:tcPr>
            <w:tcW w:w="1596" w:type="pct"/>
            <w:noWrap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 xml:space="preserve">MSP enviará propuesta 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 w:val="restart"/>
            <w:noWrap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10</w:t>
            </w:r>
          </w:p>
        </w:tc>
        <w:tc>
          <w:tcPr>
            <w:tcW w:w="577" w:type="pct"/>
            <w:noWrap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1007 1008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Revisar</w:t>
            </w:r>
          </w:p>
        </w:tc>
        <w:tc>
          <w:tcPr>
            <w:tcW w:w="1596" w:type="pct"/>
            <w:noWrap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Enviar propuesta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noWrap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1025 y 1011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Unir las preguntas</w:t>
            </w:r>
          </w:p>
        </w:tc>
        <w:tc>
          <w:tcPr>
            <w:tcW w:w="1596" w:type="pct"/>
            <w:noWrap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600"/>
        </w:trPr>
        <w:tc>
          <w:tcPr>
            <w:tcW w:w="615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SSR HOMBRES</w:t>
            </w:r>
          </w:p>
        </w:tc>
        <w:tc>
          <w:tcPr>
            <w:tcW w:w="492" w:type="pct"/>
            <w:noWrap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  <w:tc>
          <w:tcPr>
            <w:tcW w:w="577" w:type="pct"/>
            <w:noWrap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Cambiar el orden de las preguntas, primero los temas de relaciones sexuales y luego los de planificación</w:t>
            </w:r>
          </w:p>
        </w:tc>
        <w:tc>
          <w:tcPr>
            <w:tcW w:w="1596" w:type="pct"/>
            <w:noWrap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 w:val="restar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FACTORES DE RIESGO</w:t>
            </w:r>
          </w:p>
        </w:tc>
        <w:tc>
          <w:tcPr>
            <w:tcW w:w="492" w:type="pct"/>
            <w:vMerge w:val="restart"/>
            <w:noWrap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2</w:t>
            </w:r>
          </w:p>
        </w:tc>
        <w:tc>
          <w:tcPr>
            <w:tcW w:w="577" w:type="pct"/>
            <w:noWrap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204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En los últimos 12 meses alguno de los siguientes problemas:</w:t>
            </w:r>
          </w:p>
        </w:tc>
        <w:tc>
          <w:tcPr>
            <w:tcW w:w="1596" w:type="pct"/>
            <w:noWrap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noWrap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202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Con que frecuencia cepilla sus dientes</w:t>
            </w:r>
          </w:p>
        </w:tc>
        <w:tc>
          <w:tcPr>
            <w:tcW w:w="1596" w:type="pct"/>
            <w:noWrap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noWrap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204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No tuvo ningún problema en sus dientes</w:t>
            </w:r>
          </w:p>
        </w:tc>
        <w:tc>
          <w:tcPr>
            <w:tcW w:w="1596" w:type="pct"/>
            <w:noWrap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Debe ser leídas las categorías y de respuesta múltiple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 w:val="restart"/>
            <w:noWrap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center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3</w:t>
            </w:r>
          </w:p>
        </w:tc>
        <w:tc>
          <w:tcPr>
            <w:tcW w:w="577" w:type="pct"/>
            <w:noWrap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300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última semana que asistió a clases</w:t>
            </w:r>
          </w:p>
        </w:tc>
        <w:tc>
          <w:tcPr>
            <w:tcW w:w="1596" w:type="pct"/>
            <w:noWrap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  <w:tr w:rsidR="00756D81" w:rsidRPr="00FF50F5" w:rsidTr="003F7975">
        <w:trPr>
          <w:trHeight w:val="300"/>
        </w:trPr>
        <w:tc>
          <w:tcPr>
            <w:tcW w:w="615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492" w:type="pct"/>
            <w:vMerge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</w:p>
        </w:tc>
        <w:tc>
          <w:tcPr>
            <w:tcW w:w="577" w:type="pct"/>
            <w:noWrap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jc w:val="right"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304</w:t>
            </w:r>
          </w:p>
        </w:tc>
        <w:tc>
          <w:tcPr>
            <w:tcW w:w="1720" w:type="pct"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Abrir para colocar minutos</w:t>
            </w:r>
          </w:p>
        </w:tc>
        <w:tc>
          <w:tcPr>
            <w:tcW w:w="1596" w:type="pct"/>
            <w:noWrap/>
            <w:hideMark/>
          </w:tcPr>
          <w:p w:rsidR="003F7975" w:rsidRPr="003F7975" w:rsidRDefault="003F7975" w:rsidP="003F7975">
            <w:pPr>
              <w:widowControl/>
              <w:autoSpaceDE/>
              <w:autoSpaceDN/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</w:pPr>
            <w:r w:rsidRPr="003F7975">
              <w:rPr>
                <w:rFonts w:eastAsia="Times New Roman" w:cs="Times New Roman"/>
                <w:color w:val="7F7F7F" w:themeColor="text1" w:themeTint="80"/>
                <w:lang w:val="es-EC" w:eastAsia="es-EC" w:bidi="ar-SA"/>
              </w:rPr>
              <w:t> </w:t>
            </w:r>
          </w:p>
        </w:tc>
      </w:tr>
    </w:tbl>
    <w:p w:rsidR="00883CF3" w:rsidRPr="00883CF3" w:rsidRDefault="00883CF3" w:rsidP="00883CF3">
      <w:pPr>
        <w:pStyle w:val="Prrafodelista"/>
        <w:ind w:left="0"/>
        <w:jc w:val="both"/>
        <w:rPr>
          <w:rFonts w:ascii="Century Gothic" w:eastAsia="Century Gothic" w:hAnsi="Century Gothic" w:cs="Calibri"/>
          <w:color w:val="7F7F7F" w:themeColor="text1" w:themeTint="80"/>
          <w:sz w:val="20"/>
          <w:szCs w:val="22"/>
          <w:lang w:val="es-ES" w:eastAsia="es-ES" w:bidi="es-ES"/>
        </w:rPr>
      </w:pPr>
    </w:p>
    <w:p w:rsidR="009E3BC2" w:rsidRDefault="00756D81" w:rsidP="00756D81">
      <w:pPr>
        <w:pStyle w:val="Prrafodelista"/>
        <w:ind w:left="0"/>
        <w:jc w:val="both"/>
        <w:rPr>
          <w:rFonts w:ascii="Century Gothic" w:hAnsi="Century Gothic" w:cs="Calibri"/>
          <w:b/>
          <w:color w:val="7F7F7F" w:themeColor="text1" w:themeTint="80"/>
          <w:sz w:val="22"/>
          <w:szCs w:val="22"/>
        </w:rPr>
      </w:pPr>
      <w:r w:rsidRPr="00647FA0">
        <w:rPr>
          <w:rFonts w:ascii="Century Gothic" w:eastAsia="Century Gothic" w:hAnsi="Century Gothic" w:cs="Calibri"/>
          <w:color w:val="7F7F7F" w:themeColor="text1" w:themeTint="80"/>
          <w:sz w:val="20"/>
          <w:szCs w:val="22"/>
          <w:lang w:val="es-ES" w:eastAsia="es-ES" w:bidi="es-ES"/>
        </w:rPr>
        <w:t xml:space="preserve">Adicionalmente, el Ministerio de Salud envió </w:t>
      </w:r>
      <w:r w:rsidR="00647FA0" w:rsidRPr="00647FA0">
        <w:rPr>
          <w:rFonts w:ascii="Century Gothic" w:eastAsia="Century Gothic" w:hAnsi="Century Gothic" w:cs="Calibri"/>
          <w:color w:val="7F7F7F" w:themeColor="text1" w:themeTint="80"/>
          <w:sz w:val="20"/>
          <w:szCs w:val="22"/>
          <w:lang w:val="es-ES" w:eastAsia="es-ES" w:bidi="es-ES"/>
        </w:rPr>
        <w:t>un informe de observaciones, el cual se anexa.</w:t>
      </w:r>
    </w:p>
    <w:p w:rsidR="00756D81" w:rsidRDefault="00756D81" w:rsidP="00756D81">
      <w:pPr>
        <w:pStyle w:val="Prrafodelista"/>
        <w:ind w:left="0"/>
        <w:jc w:val="both"/>
        <w:rPr>
          <w:rFonts w:ascii="Century Gothic" w:hAnsi="Century Gothic" w:cs="Calibri"/>
          <w:b/>
          <w:color w:val="7F7F7F" w:themeColor="text1" w:themeTint="80"/>
          <w:sz w:val="22"/>
          <w:szCs w:val="22"/>
        </w:rPr>
      </w:pPr>
    </w:p>
    <w:p w:rsidR="004D1A00" w:rsidRDefault="00B71BC0" w:rsidP="004D1A00">
      <w:pPr>
        <w:pStyle w:val="Prrafodelista"/>
        <w:numPr>
          <w:ilvl w:val="0"/>
          <w:numId w:val="1"/>
        </w:numPr>
        <w:jc w:val="both"/>
        <w:rPr>
          <w:rFonts w:ascii="Century Gothic" w:hAnsi="Century Gothic" w:cs="Calibri"/>
          <w:b/>
          <w:color w:val="7F7F7F" w:themeColor="text1" w:themeTint="80"/>
          <w:sz w:val="22"/>
          <w:szCs w:val="22"/>
        </w:rPr>
      </w:pPr>
      <w:r>
        <w:rPr>
          <w:rFonts w:ascii="Century Gothic" w:hAnsi="Century Gothic" w:cs="Calibri"/>
          <w:b/>
          <w:color w:val="7F7F7F" w:themeColor="text1" w:themeTint="80"/>
          <w:sz w:val="22"/>
          <w:szCs w:val="22"/>
        </w:rPr>
        <w:t>Conclusiones y recomendaciones</w:t>
      </w:r>
    </w:p>
    <w:p w:rsidR="004D1A00" w:rsidRDefault="004D1A00" w:rsidP="004D1A00">
      <w:pPr>
        <w:rPr>
          <w:rFonts w:cs="Calibri"/>
          <w:b/>
          <w:color w:val="7F7F7F" w:themeColor="text1" w:themeTint="80"/>
        </w:rPr>
      </w:pPr>
    </w:p>
    <w:p w:rsidR="00AF2B67" w:rsidRPr="00AF2B67" w:rsidRDefault="00AF2B67" w:rsidP="00973DBE">
      <w:pPr>
        <w:jc w:val="both"/>
        <w:rPr>
          <w:rFonts w:cs="Calibri"/>
          <w:b/>
          <w:color w:val="7F7F7F" w:themeColor="text1" w:themeTint="80"/>
        </w:rPr>
      </w:pPr>
      <w:r w:rsidRPr="00AF2B67">
        <w:rPr>
          <w:rFonts w:cs="Calibri"/>
          <w:b/>
          <w:color w:val="7F7F7F" w:themeColor="text1" w:themeTint="80"/>
        </w:rPr>
        <w:t>Conclusiones</w:t>
      </w:r>
    </w:p>
    <w:p w:rsidR="00AF2B67" w:rsidRDefault="00AF2B67" w:rsidP="00973DBE">
      <w:pPr>
        <w:jc w:val="both"/>
        <w:rPr>
          <w:rFonts w:cs="Calibri"/>
          <w:color w:val="7F7F7F" w:themeColor="text1" w:themeTint="80"/>
        </w:rPr>
      </w:pPr>
    </w:p>
    <w:p w:rsidR="009F17CE" w:rsidRDefault="00647FA0" w:rsidP="00973DBE">
      <w:pPr>
        <w:jc w:val="both"/>
        <w:rPr>
          <w:rFonts w:cs="Calibri"/>
          <w:color w:val="7F7F7F" w:themeColor="text1" w:themeTint="80"/>
        </w:rPr>
      </w:pPr>
      <w:r>
        <w:rPr>
          <w:rFonts w:cs="Calibri"/>
          <w:color w:val="7F7F7F" w:themeColor="text1" w:themeTint="80"/>
        </w:rPr>
        <w:t>En conclusión</w:t>
      </w:r>
      <w:r w:rsidR="00FF50F5">
        <w:rPr>
          <w:rFonts w:cs="Calibri"/>
          <w:color w:val="7F7F7F" w:themeColor="text1" w:themeTint="80"/>
        </w:rPr>
        <w:t xml:space="preserve"> se pudo </w:t>
      </w:r>
      <w:r w:rsidR="00AF2B67">
        <w:rPr>
          <w:rFonts w:cs="Calibri"/>
          <w:color w:val="7F7F7F" w:themeColor="text1" w:themeTint="80"/>
        </w:rPr>
        <w:t xml:space="preserve">captar en el levantamiento de la información en campo </w:t>
      </w:r>
      <w:r w:rsidR="00AF2B67">
        <w:rPr>
          <w:rFonts w:cs="Calibri"/>
          <w:color w:val="7F7F7F" w:themeColor="text1" w:themeTint="80"/>
        </w:rPr>
        <w:t xml:space="preserve">varias inconsistencias </w:t>
      </w:r>
      <w:r w:rsidR="00AF2B67">
        <w:rPr>
          <w:rFonts w:cs="Calibri"/>
          <w:color w:val="7F7F7F" w:themeColor="text1" w:themeTint="80"/>
        </w:rPr>
        <w:t>en el llenado de los formularios.</w:t>
      </w:r>
    </w:p>
    <w:p w:rsidR="00AF2B67" w:rsidRDefault="00AF2B67" w:rsidP="00973DBE">
      <w:pPr>
        <w:jc w:val="both"/>
        <w:rPr>
          <w:rFonts w:cs="Calibri"/>
          <w:color w:val="7F7F7F" w:themeColor="text1" w:themeTint="80"/>
        </w:rPr>
      </w:pPr>
    </w:p>
    <w:p w:rsidR="00AF2B67" w:rsidRDefault="00AF2B67" w:rsidP="00973DBE">
      <w:pPr>
        <w:jc w:val="both"/>
        <w:rPr>
          <w:rFonts w:cs="Calibri"/>
          <w:color w:val="7F7F7F" w:themeColor="text1" w:themeTint="80"/>
        </w:rPr>
      </w:pPr>
      <w:r>
        <w:rPr>
          <w:rFonts w:cs="Calibri"/>
          <w:color w:val="7F7F7F" w:themeColor="text1" w:themeTint="80"/>
        </w:rPr>
        <w:t>Se verifi</w:t>
      </w:r>
      <w:r w:rsidR="00311696">
        <w:rPr>
          <w:rFonts w:cs="Calibri"/>
          <w:color w:val="7F7F7F" w:themeColor="text1" w:themeTint="80"/>
        </w:rPr>
        <w:t>c</w:t>
      </w:r>
      <w:r>
        <w:rPr>
          <w:rFonts w:cs="Calibri"/>
          <w:color w:val="7F7F7F" w:themeColor="text1" w:themeTint="80"/>
        </w:rPr>
        <w:t xml:space="preserve">ó el tiempo de diligenciamiento del formulario, para </w:t>
      </w:r>
      <w:r w:rsidR="00311696">
        <w:rPr>
          <w:rFonts w:cs="Calibri"/>
          <w:color w:val="7F7F7F" w:themeColor="text1" w:themeTint="80"/>
        </w:rPr>
        <w:t xml:space="preserve">confirmar </w:t>
      </w:r>
      <w:bookmarkStart w:id="0" w:name="_GoBack"/>
      <w:bookmarkEnd w:id="0"/>
      <w:r w:rsidR="00311696">
        <w:rPr>
          <w:rFonts w:cs="Calibri"/>
          <w:color w:val="7F7F7F" w:themeColor="text1" w:themeTint="80"/>
        </w:rPr>
        <w:t>la carga de trabajo establecida.</w:t>
      </w:r>
    </w:p>
    <w:p w:rsidR="00311696" w:rsidRDefault="00311696" w:rsidP="00973DBE">
      <w:pPr>
        <w:jc w:val="both"/>
        <w:rPr>
          <w:rFonts w:cs="Calibri"/>
          <w:color w:val="7F7F7F" w:themeColor="text1" w:themeTint="80"/>
        </w:rPr>
      </w:pPr>
    </w:p>
    <w:p w:rsidR="00311696" w:rsidRDefault="00311696" w:rsidP="00973DBE">
      <w:pPr>
        <w:jc w:val="both"/>
        <w:rPr>
          <w:rFonts w:cs="Calibri"/>
          <w:color w:val="7F7F7F" w:themeColor="text1" w:themeTint="80"/>
        </w:rPr>
      </w:pPr>
      <w:r>
        <w:rPr>
          <w:rFonts w:cs="Calibri"/>
          <w:color w:val="7F7F7F" w:themeColor="text1" w:themeTint="80"/>
        </w:rPr>
        <w:t>Se evidenció algunos informantes con problemas de salud y con discapacidad, que necesitan asistencia médica, y nos solicitaron información para acceder a los servicios o beneficios del gobierno.</w:t>
      </w:r>
    </w:p>
    <w:p w:rsidR="00AF2B67" w:rsidRDefault="00AF2B67" w:rsidP="00973DBE">
      <w:pPr>
        <w:jc w:val="both"/>
        <w:rPr>
          <w:rFonts w:cs="Calibri"/>
          <w:color w:val="7F7F7F" w:themeColor="text1" w:themeTint="80"/>
        </w:rPr>
      </w:pPr>
    </w:p>
    <w:p w:rsidR="00AF2B67" w:rsidRPr="00AF2B67" w:rsidRDefault="00AF2B67" w:rsidP="00973DBE">
      <w:pPr>
        <w:jc w:val="both"/>
        <w:rPr>
          <w:rFonts w:cs="Calibri"/>
          <w:b/>
          <w:color w:val="7F7F7F" w:themeColor="text1" w:themeTint="80"/>
        </w:rPr>
      </w:pPr>
      <w:r w:rsidRPr="00AF2B67">
        <w:rPr>
          <w:rFonts w:cs="Calibri"/>
          <w:b/>
          <w:color w:val="7F7F7F" w:themeColor="text1" w:themeTint="80"/>
        </w:rPr>
        <w:t>Recomendaciones</w:t>
      </w:r>
    </w:p>
    <w:p w:rsidR="00AF2B67" w:rsidRDefault="00AF2B67" w:rsidP="00973DBE">
      <w:pPr>
        <w:jc w:val="both"/>
        <w:rPr>
          <w:rFonts w:cs="Calibri"/>
          <w:color w:val="7F7F7F" w:themeColor="text1" w:themeTint="80"/>
        </w:rPr>
      </w:pPr>
    </w:p>
    <w:p w:rsidR="00AF2B67" w:rsidRDefault="00AF2B67" w:rsidP="00973DBE">
      <w:pPr>
        <w:jc w:val="both"/>
        <w:rPr>
          <w:rFonts w:cs="Calibri"/>
          <w:color w:val="7F7F7F" w:themeColor="text1" w:themeTint="80"/>
        </w:rPr>
      </w:pPr>
      <w:r>
        <w:rPr>
          <w:rFonts w:cs="Calibri"/>
          <w:color w:val="7F7F7F" w:themeColor="text1" w:themeTint="80"/>
        </w:rPr>
        <w:t>Se recomienda solventar las inconsistencias evidenciadas en campo</w:t>
      </w:r>
      <w:r w:rsidR="00311696">
        <w:rPr>
          <w:rFonts w:cs="Calibri"/>
          <w:color w:val="7F7F7F" w:themeColor="text1" w:themeTint="80"/>
        </w:rPr>
        <w:t>.</w:t>
      </w:r>
    </w:p>
    <w:p w:rsidR="00311696" w:rsidRDefault="00311696" w:rsidP="00973DBE">
      <w:pPr>
        <w:jc w:val="both"/>
        <w:rPr>
          <w:rFonts w:cs="Calibri"/>
          <w:color w:val="7F7F7F" w:themeColor="text1" w:themeTint="80"/>
        </w:rPr>
      </w:pPr>
    </w:p>
    <w:p w:rsidR="00311696" w:rsidRDefault="00311696" w:rsidP="00973DBE">
      <w:pPr>
        <w:jc w:val="both"/>
        <w:rPr>
          <w:rFonts w:cs="Calibri"/>
          <w:color w:val="7F7F7F" w:themeColor="text1" w:themeTint="80"/>
        </w:rPr>
      </w:pPr>
      <w:r>
        <w:rPr>
          <w:rFonts w:cs="Calibri"/>
          <w:color w:val="7F7F7F" w:themeColor="text1" w:themeTint="80"/>
        </w:rPr>
        <w:t>Mantener la carga de trabajo diaria establecida por encuestador.</w:t>
      </w:r>
    </w:p>
    <w:p w:rsidR="00311696" w:rsidRDefault="00311696" w:rsidP="00973DBE">
      <w:pPr>
        <w:jc w:val="both"/>
        <w:rPr>
          <w:rFonts w:cs="Calibri"/>
          <w:color w:val="7F7F7F" w:themeColor="text1" w:themeTint="80"/>
        </w:rPr>
      </w:pPr>
    </w:p>
    <w:p w:rsidR="00795C2F" w:rsidRDefault="00311696" w:rsidP="00311696">
      <w:pPr>
        <w:jc w:val="both"/>
      </w:pPr>
      <w:r>
        <w:rPr>
          <w:rFonts w:cs="Calibri"/>
          <w:color w:val="7F7F7F" w:themeColor="text1" w:themeTint="80"/>
        </w:rPr>
        <w:t>Ministerio de recomienda la elaboración de un boletín informativo de lugares a donde acudir, dependiendo del problema o situación que atraviese el informante; para ser entregado en las viviendas seleccionadas, en caso de ser requerido.</w:t>
      </w:r>
    </w:p>
    <w:p w:rsidR="00F71037" w:rsidRDefault="00AF7AF3">
      <w:pPr>
        <w:widowControl/>
        <w:autoSpaceDE/>
        <w:autoSpaceDN/>
      </w:pPr>
      <w:r>
        <w:rPr>
          <w:rFonts w:ascii="Times New Roman"/>
          <w:b/>
          <w:noProof/>
          <w:position w:val="-1"/>
          <w:sz w:val="20"/>
          <w:lang w:val="es-EC" w:eastAsia="es-EC" w:bidi="ar-SA"/>
        </w:rPr>
        <w:lastRenderedPageBreak/>
        <w:drawing>
          <wp:anchor distT="0" distB="0" distL="114300" distR="114300" simplePos="0" relativeHeight="251662336" behindDoc="1" locked="0" layoutInCell="1" allowOverlap="1" wp14:anchorId="7E1A8AC7" wp14:editId="4C028631">
            <wp:simplePos x="0" y="0"/>
            <wp:positionH relativeFrom="column">
              <wp:posOffset>-1147484</wp:posOffset>
            </wp:positionH>
            <wp:positionV relativeFrom="page">
              <wp:posOffset>-109282</wp:posOffset>
            </wp:positionV>
            <wp:extent cx="7657940" cy="10832281"/>
            <wp:effectExtent l="0" t="0" r="0" b="0"/>
            <wp:wrapNone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enerica 1-04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57940" cy="108322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5C2F" w:rsidRDefault="00795C2F">
      <w:pPr>
        <w:widowControl/>
        <w:autoSpaceDE/>
        <w:autoSpaceDN/>
      </w:pPr>
    </w:p>
    <w:p w:rsidR="00F71037" w:rsidRPr="00F71037" w:rsidRDefault="00F71037" w:rsidP="00F71037"/>
    <w:p w:rsidR="00FC708E" w:rsidRPr="00F71037" w:rsidRDefault="00FC708E" w:rsidP="00F71037"/>
    <w:sectPr w:rsidR="00FC708E" w:rsidRPr="00F71037" w:rsidSect="00795C2F">
      <w:headerReference w:type="default" r:id="rId11"/>
      <w:footerReference w:type="default" r:id="rId12"/>
      <w:pgSz w:w="11900" w:h="16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A62" w:rsidRDefault="00091A62" w:rsidP="00F71037">
      <w:r>
        <w:separator/>
      </w:r>
    </w:p>
  </w:endnote>
  <w:endnote w:type="continuationSeparator" w:id="0">
    <w:p w:rsidR="00091A62" w:rsidRDefault="00091A62" w:rsidP="00F71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C2F" w:rsidRDefault="00795C2F">
    <w:pPr>
      <w:pStyle w:val="Piedepgina"/>
    </w:pPr>
    <w:r>
      <w:rPr>
        <w:noProof/>
        <w:lang w:val="es-EC" w:eastAsia="es-EC" w:bidi="ar-SA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editId="5D7041AD">
              <wp:simplePos x="0" y="0"/>
              <wp:positionH relativeFrom="page">
                <wp:posOffset>0</wp:posOffset>
              </wp:positionH>
              <wp:positionV relativeFrom="paragraph">
                <wp:posOffset>536575</wp:posOffset>
              </wp:positionV>
              <wp:extent cx="7560310" cy="78740"/>
              <wp:effectExtent l="0" t="0" r="8890" b="0"/>
              <wp:wrapThrough wrapText="bothSides">
                <wp:wrapPolygon edited="0">
                  <wp:start x="0" y="0"/>
                  <wp:lineTo x="0" y="13935"/>
                  <wp:lineTo x="21553" y="13935"/>
                  <wp:lineTo x="21553" y="0"/>
                  <wp:lineTo x="0" y="0"/>
                </wp:wrapPolygon>
              </wp:wrapThrough>
              <wp:docPr id="12" name="Agrupar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60310" cy="78740"/>
                        <a:chOff x="0" y="16714"/>
                        <a:chExt cx="11906" cy="124"/>
                      </a:xfrm>
                    </wpg:grpSpPr>
                    <wps:wsp>
                      <wps:cNvPr id="13" name="Freeform 2"/>
                      <wps:cNvSpPr>
                        <a:spLocks/>
                      </wps:cNvSpPr>
                      <wps:spPr bwMode="auto">
                        <a:xfrm>
                          <a:off x="0" y="16714"/>
                          <a:ext cx="10791" cy="124"/>
                        </a:xfrm>
                        <a:custGeom>
                          <a:avLst/>
                          <a:gdLst>
                            <a:gd name="T0" fmla="*/ 10791 w 10791"/>
                            <a:gd name="T1" fmla="+- 0 16714 16714"/>
                            <a:gd name="T2" fmla="*/ 16714 h 124"/>
                            <a:gd name="T3" fmla="*/ 0 w 10791"/>
                            <a:gd name="T4" fmla="+- 0 16714 16714"/>
                            <a:gd name="T5" fmla="*/ 16714 h 124"/>
                            <a:gd name="T6" fmla="*/ 0 w 10791"/>
                            <a:gd name="T7" fmla="+- 0 16838 16714"/>
                            <a:gd name="T8" fmla="*/ 16838 h 124"/>
                            <a:gd name="T9" fmla="*/ 10688 w 10791"/>
                            <a:gd name="T10" fmla="+- 0 16838 16714"/>
                            <a:gd name="T11" fmla="*/ 16838 h 124"/>
                            <a:gd name="T12" fmla="*/ 10791 w 10791"/>
                            <a:gd name="T13" fmla="+- 0 16714 16714"/>
                            <a:gd name="T14" fmla="*/ 16714 h 124"/>
                          </a:gdLst>
                          <a:ahLst/>
                          <a:cxnLst>
                            <a:cxn ang="0">
                              <a:pos x="T0" y="T2"/>
                            </a:cxn>
                            <a:cxn ang="0">
                              <a:pos x="T3" y="T5"/>
                            </a:cxn>
                            <a:cxn ang="0">
                              <a:pos x="T6" y="T8"/>
                            </a:cxn>
                            <a:cxn ang="0">
                              <a:pos x="T9" y="T11"/>
                            </a:cxn>
                            <a:cxn ang="0">
                              <a:pos x="T12" y="T14"/>
                            </a:cxn>
                          </a:cxnLst>
                          <a:rect l="0" t="0" r="r" b="b"/>
                          <a:pathLst>
                            <a:path w="10791" h="124">
                              <a:moveTo>
                                <a:pt x="10791" y="0"/>
                              </a:moveTo>
                              <a:lnTo>
                                <a:pt x="0" y="0"/>
                              </a:lnTo>
                              <a:lnTo>
                                <a:pt x="0" y="124"/>
                              </a:lnTo>
                              <a:lnTo>
                                <a:pt x="10688" y="124"/>
                              </a:lnTo>
                              <a:lnTo>
                                <a:pt x="107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76A6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3"/>
                      <wps:cNvSpPr>
                        <a:spLocks/>
                      </wps:cNvSpPr>
                      <wps:spPr bwMode="auto">
                        <a:xfrm>
                          <a:off x="10687" y="16714"/>
                          <a:ext cx="1219" cy="124"/>
                        </a:xfrm>
                        <a:custGeom>
                          <a:avLst/>
                          <a:gdLst>
                            <a:gd name="T0" fmla="+- 0 11906 10688"/>
                            <a:gd name="T1" fmla="*/ T0 w 1219"/>
                            <a:gd name="T2" fmla="+- 0 16714 16714"/>
                            <a:gd name="T3" fmla="*/ 16714 h 124"/>
                            <a:gd name="T4" fmla="+- 0 10791 10688"/>
                            <a:gd name="T5" fmla="*/ T4 w 1219"/>
                            <a:gd name="T6" fmla="+- 0 16714 16714"/>
                            <a:gd name="T7" fmla="*/ 16714 h 124"/>
                            <a:gd name="T8" fmla="+- 0 10688 10688"/>
                            <a:gd name="T9" fmla="*/ T8 w 1219"/>
                            <a:gd name="T10" fmla="+- 0 16838 16714"/>
                            <a:gd name="T11" fmla="*/ 16838 h 124"/>
                            <a:gd name="T12" fmla="+- 0 11906 10688"/>
                            <a:gd name="T13" fmla="*/ T12 w 1219"/>
                            <a:gd name="T14" fmla="+- 0 16838 16714"/>
                            <a:gd name="T15" fmla="*/ 16838 h 124"/>
                            <a:gd name="T16" fmla="+- 0 11906 10688"/>
                            <a:gd name="T17" fmla="*/ T16 w 1219"/>
                            <a:gd name="T18" fmla="+- 0 16714 16714"/>
                            <a:gd name="T19" fmla="*/ 16714 h 12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1219" h="124">
                              <a:moveTo>
                                <a:pt x="1218" y="0"/>
                              </a:moveTo>
                              <a:lnTo>
                                <a:pt x="103" y="0"/>
                              </a:lnTo>
                              <a:lnTo>
                                <a:pt x="0" y="124"/>
                              </a:lnTo>
                              <a:lnTo>
                                <a:pt x="1218" y="124"/>
                              </a:lnTo>
                              <a:lnTo>
                                <a:pt x="1218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 xmlns:mv="urn:schemas-microsoft-com:mac:vml" xmlns:mo="http://schemas.microsoft.com/office/mac/office/2008/main">
          <w:pict>
            <v:group w14:anchorId="4821BF19" id="Agrupar_x0020_12" o:spid="_x0000_s1026" style="position:absolute;margin-left:0;margin-top:42.25pt;width:595.3pt;height:6.2pt;z-index:251664384;mso-position-horizontal-relative:page" coordorigin=",16714" coordsize="11906,124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">
              <v:shape id="Freeform_x0020_2" o:spid="_x0000_s1027" style="position:absolute;top:16714;width:10791;height:124;visibility:visible;mso-wrap-style:square;v-text-anchor:top" coordsize="10791,12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p9VkWwwAA&#10;ANsAAAAPAAAAZHJzL2Rvd25yZXYueG1sRE9La8JAEL4L/Q/LFHqRurG2JUldRYSCF/FRDz1Os2M2&#10;NDsbstsk/ntXKHibj+858+Vga9FR6yvHCqaTBARx4XTFpYLT1+dzCsIHZI21Y1JwIQ/LxcNojrl2&#10;PR+oO4ZSxBD2OSowITS5lL4wZNFPXEMcubNrLYYI21LqFvsYbmv5kiTv0mLFscFgQ2tDxe/xzyrI&#10;yp+1T3djP37dmjc8Z5u9O30r9fQ4rD5ABBrCXfzv3ug4fwa3X+IBcnEF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p9VkWwwAAANsAAAAPAAAAAAAAAAAAAAAAAJcCAABkcnMvZG93&#10;bnJldi54bWxQSwUGAAAAAAQABAD1AAAAhwMAAAAA&#10;" path="m10791,0l0,,,124,10688,124,10791,0xe" fillcolor="#676a6b" stroked="f">
                <v:path arrowok="t" o:connecttype="custom" o:connectlocs="10791,16714;0,16714;0,16838;10688,16838;10791,16714" o:connectangles="0,0,0,0,0"/>
              </v:shape>
              <v:shape id="Freeform_x0020_3" o:spid="_x0000_s1028" style="position:absolute;left:10687;top:16714;width:1219;height:124;visibility:visible;mso-wrap-style:square;v-text-anchor:top" coordsize="1219,12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sDhhrxAAA&#10;ANsAAAAPAAAAZHJzL2Rvd25yZXYueG1sRE9Na8JAEL0L/odlhN50o1WR6CqlUiqthxoLJbchOybB&#10;7Gya3cbYX+8WCt7m8T5ntelMJVpqXGlZwXgUgSDOrC45V/B5fBkuQDiPrLGyTAqu5GCz7vdWGGt7&#10;4QO1ic9FCGEXo4LC+zqW0mUFGXQjWxMH7mQbgz7AJpe6wUsIN5WcRNFcGiw5NBRY03NB2Tn5MQrS&#10;x+3efe3T77d89vv+MX+dtdc6Veph0D0tQXjq/F38797pMH8Kf7+EA+T6B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rA4Ya8QAAADbAAAADwAAAAAAAAAAAAAAAACXAgAAZHJzL2Rv&#10;d25yZXYueG1sUEsFBgAAAAAEAAQA9QAAAIgDAAAAAA==&#10;" path="m1218,0l103,,,124,1218,124,1218,0xe" fillcolor="#bfbfbf [2412]" stroked="f">
                <v:path arrowok="t" o:connecttype="custom" o:connectlocs="1218,16714;103,16714;0,16838;1218,16838;1218,16714" o:connectangles="0,0,0,0,0"/>
              </v:shape>
              <w10:wrap type="through" anchorx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A62" w:rsidRDefault="00091A62" w:rsidP="00F71037">
      <w:r>
        <w:separator/>
      </w:r>
    </w:p>
  </w:footnote>
  <w:footnote w:type="continuationSeparator" w:id="0">
    <w:p w:rsidR="00091A62" w:rsidRDefault="00091A62" w:rsidP="00F710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37" w:rsidRPr="00F71037" w:rsidRDefault="00F71037">
    <w:pPr>
      <w:pStyle w:val="Encabezado"/>
      <w:rPr>
        <w:i/>
        <w:color w:val="BFBFBF" w:themeColor="background1" w:themeShade="BF"/>
        <w:sz w:val="20"/>
        <w:szCs w:val="20"/>
      </w:rPr>
    </w:pPr>
    <w:r>
      <w:rPr>
        <w:i/>
        <w:noProof/>
        <w:color w:val="FFFFFF" w:themeColor="background1"/>
        <w:sz w:val="20"/>
        <w:szCs w:val="20"/>
        <w:lang w:val="es-EC" w:eastAsia="es-EC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C9D2357" wp14:editId="5361816B">
              <wp:simplePos x="0" y="0"/>
              <wp:positionH relativeFrom="column">
                <wp:posOffset>2057400</wp:posOffset>
              </wp:positionH>
              <wp:positionV relativeFrom="paragraph">
                <wp:posOffset>-79963</wp:posOffset>
              </wp:positionV>
              <wp:extent cx="2284013" cy="0"/>
              <wp:effectExtent l="0" t="0" r="27940" b="25400"/>
              <wp:wrapNone/>
              <wp:docPr id="7" name="Conector rect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284013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 xmlns:mv="urn:schemas-microsoft-com:mac:vml" xmlns:mo="http://schemas.microsoft.com/office/mac/office/2008/main">
          <w:pict>
            <v:line w14:anchorId="6B5188D2" id="Conector_x0020_recto_x0020_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pt,-6.25pt" to="341.85pt,-6.2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" strokecolor="#bfbfbf [2412]">
              <v:stroke joinstyle="miter"/>
            </v:line>
          </w:pict>
        </mc:Fallback>
      </mc:AlternateContent>
    </w:r>
    <w:r>
      <w:rPr>
        <w:noProof/>
        <w:lang w:val="es-EC" w:eastAsia="es-EC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AEC447" wp14:editId="71ACD2E6">
              <wp:simplePos x="0" y="0"/>
              <wp:positionH relativeFrom="column">
                <wp:posOffset>1905</wp:posOffset>
              </wp:positionH>
              <wp:positionV relativeFrom="paragraph">
                <wp:posOffset>-315595</wp:posOffset>
              </wp:positionV>
              <wp:extent cx="2054860" cy="459740"/>
              <wp:effectExtent l="0" t="0" r="0" b="0"/>
              <wp:wrapSquare wrapText="bothSides"/>
              <wp:docPr id="8" name="Cuadro de texto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54860" cy="459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F71037" w:rsidRPr="00F71037" w:rsidRDefault="00667BF3" w:rsidP="00F71037">
                          <w:pPr>
                            <w:pStyle w:val="Encabezado"/>
                            <w:rPr>
                              <w:i/>
                              <w:color w:val="BFBFBF" w:themeColor="background1" w:themeShade="BF"/>
                              <w:sz w:val="18"/>
                              <w:szCs w:val="20"/>
                            </w:rPr>
                          </w:pPr>
                          <w:r>
                            <w:rPr>
                              <w:i/>
                              <w:color w:val="BFBFBF" w:themeColor="background1" w:themeShade="BF"/>
                              <w:sz w:val="18"/>
                              <w:szCs w:val="20"/>
                            </w:rPr>
                            <w:t>Encuesta Nacional de Salud y Nutrición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8" o:spid="_x0000_s1029" type="#_x0000_t202" style="position:absolute;margin-left:.15pt;margin-top:-24.85pt;width:161.8pt;height:3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" filled="f" stroked="f">
              <v:textbox>
                <w:txbxContent>
                  <w:p w:rsidR="00F71037" w:rsidRPr="00F71037" w:rsidRDefault="00667BF3" w:rsidP="00F71037">
                    <w:pPr>
                      <w:pStyle w:val="Encabezado"/>
                      <w:rPr>
                        <w:i/>
                        <w:color w:val="BFBFBF" w:themeColor="background1" w:themeShade="BF"/>
                        <w:sz w:val="18"/>
                        <w:szCs w:val="20"/>
                      </w:rPr>
                    </w:pPr>
                    <w:r>
                      <w:rPr>
                        <w:i/>
                        <w:color w:val="BFBFBF" w:themeColor="background1" w:themeShade="BF"/>
                        <w:sz w:val="18"/>
                        <w:szCs w:val="20"/>
                      </w:rPr>
                      <w:t>Encuesta Nacional de Salud y Nutrición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i/>
        <w:noProof/>
        <w:color w:val="BFBFBF" w:themeColor="background1" w:themeShade="BF"/>
        <w:sz w:val="20"/>
        <w:szCs w:val="20"/>
        <w:lang w:val="es-EC" w:eastAsia="es-EC" w:bidi="ar-SA"/>
      </w:rPr>
      <w:drawing>
        <wp:anchor distT="0" distB="0" distL="114300" distR="114300" simplePos="0" relativeHeight="251663360" behindDoc="0" locked="0" layoutInCell="1" allowOverlap="1" wp14:anchorId="0E23AC1B" wp14:editId="098E46AD">
          <wp:simplePos x="0" y="0"/>
          <wp:positionH relativeFrom="column">
            <wp:posOffset>4404995</wp:posOffset>
          </wp:positionH>
          <wp:positionV relativeFrom="paragraph">
            <wp:posOffset>-222885</wp:posOffset>
          </wp:positionV>
          <wp:extent cx="1880235" cy="287655"/>
          <wp:effectExtent l="0" t="0" r="0" b="0"/>
          <wp:wrapThrough wrapText="bothSides">
            <wp:wrapPolygon edited="0">
              <wp:start x="2334" y="0"/>
              <wp:lineTo x="0" y="13351"/>
              <wp:lineTo x="0" y="19073"/>
              <wp:lineTo x="15465" y="19073"/>
              <wp:lineTo x="21301" y="17166"/>
              <wp:lineTo x="21301" y="1907"/>
              <wp:lineTo x="12839" y="0"/>
              <wp:lineTo x="2334" y="0"/>
            </wp:wrapPolygon>
          </wp:wrapThrough>
          <wp:docPr id="9" name="Imagen 9" descr="/Users/epalacios/Documents/Esteban Palacios/2018/JUNIO/Plantillas Word/Word genérica 1/generica 1-0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/Users/epalacios/Documents/Esteban Palacios/2018/JUNIO/Plantillas Word/Word genérica 1/generica 1-07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0235" cy="287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noProof/>
        <w:color w:val="FFFFFF" w:themeColor="background1"/>
        <w:sz w:val="20"/>
        <w:szCs w:val="20"/>
        <w:lang w:val="es-EC" w:eastAsia="es-EC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23A1D89" wp14:editId="7A8BDD91">
              <wp:simplePos x="0" y="0"/>
              <wp:positionH relativeFrom="column">
                <wp:posOffset>-1147445</wp:posOffset>
              </wp:positionH>
              <wp:positionV relativeFrom="paragraph">
                <wp:posOffset>-86360</wp:posOffset>
              </wp:positionV>
              <wp:extent cx="1147868" cy="2540"/>
              <wp:effectExtent l="0" t="0" r="46355" b="48260"/>
              <wp:wrapNone/>
              <wp:docPr id="6" name="Conector rec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7868" cy="2540"/>
                      </a:xfrm>
                      <a:prstGeom prst="line">
                        <a:avLst/>
                      </a:prstGeom>
                      <a:ln w="9525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5="http://schemas.microsoft.com/office/word/2012/wordml" xmlns:mv="urn:schemas-microsoft-com:mac:vml" xmlns:mo="http://schemas.microsoft.com/office/mac/office/2008/main">
          <w:pict>
            <v:line w14:anchorId="1CDCAB6D" id="Conector_x0020_recto_x0020_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90.35pt,-6.75pt" to=".05pt,-6.5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" strokecolor="#bfbfbf [2412]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B5E6C"/>
    <w:multiLevelType w:val="hybridMultilevel"/>
    <w:tmpl w:val="21AE7F2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202350"/>
    <w:multiLevelType w:val="hybridMultilevel"/>
    <w:tmpl w:val="D36A18F8"/>
    <w:lvl w:ilvl="0" w:tplc="3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1D041AD"/>
    <w:multiLevelType w:val="multilevel"/>
    <w:tmpl w:val="0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B6B3ED0"/>
    <w:multiLevelType w:val="hybridMultilevel"/>
    <w:tmpl w:val="F38AAB9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0F5B64"/>
    <w:multiLevelType w:val="hybridMultilevel"/>
    <w:tmpl w:val="B9FEF9F2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5272A3"/>
    <w:multiLevelType w:val="multilevel"/>
    <w:tmpl w:val="30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C792CA4"/>
    <w:multiLevelType w:val="hybridMultilevel"/>
    <w:tmpl w:val="B5423AC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A52"/>
    <w:rsid w:val="0002320A"/>
    <w:rsid w:val="00057DEE"/>
    <w:rsid w:val="00082920"/>
    <w:rsid w:val="00091A62"/>
    <w:rsid w:val="000C6BEF"/>
    <w:rsid w:val="00186D99"/>
    <w:rsid w:val="001A3024"/>
    <w:rsid w:val="001D2D5E"/>
    <w:rsid w:val="001F0576"/>
    <w:rsid w:val="00311696"/>
    <w:rsid w:val="003F7975"/>
    <w:rsid w:val="00473A52"/>
    <w:rsid w:val="004D1A00"/>
    <w:rsid w:val="005C48A0"/>
    <w:rsid w:val="00647FA0"/>
    <w:rsid w:val="00667BF3"/>
    <w:rsid w:val="00737001"/>
    <w:rsid w:val="00756D81"/>
    <w:rsid w:val="007631A8"/>
    <w:rsid w:val="00765059"/>
    <w:rsid w:val="00795C2F"/>
    <w:rsid w:val="00816B8B"/>
    <w:rsid w:val="00883CF3"/>
    <w:rsid w:val="00887956"/>
    <w:rsid w:val="008B5640"/>
    <w:rsid w:val="008B6BA7"/>
    <w:rsid w:val="00916CD4"/>
    <w:rsid w:val="00943600"/>
    <w:rsid w:val="00944EC0"/>
    <w:rsid w:val="00973DBE"/>
    <w:rsid w:val="00992E77"/>
    <w:rsid w:val="009C74CC"/>
    <w:rsid w:val="009E3BC2"/>
    <w:rsid w:val="009F17CE"/>
    <w:rsid w:val="00A81AD6"/>
    <w:rsid w:val="00A94D39"/>
    <w:rsid w:val="00AD3291"/>
    <w:rsid w:val="00AF2B67"/>
    <w:rsid w:val="00AF7AF3"/>
    <w:rsid w:val="00B2663F"/>
    <w:rsid w:val="00B51F08"/>
    <w:rsid w:val="00B71BC0"/>
    <w:rsid w:val="00BA5FA6"/>
    <w:rsid w:val="00BA70FE"/>
    <w:rsid w:val="00BD1015"/>
    <w:rsid w:val="00C840BB"/>
    <w:rsid w:val="00CF3689"/>
    <w:rsid w:val="00D04503"/>
    <w:rsid w:val="00D24939"/>
    <w:rsid w:val="00D4077A"/>
    <w:rsid w:val="00DC528A"/>
    <w:rsid w:val="00DD36FA"/>
    <w:rsid w:val="00EA2ADF"/>
    <w:rsid w:val="00ED6F3D"/>
    <w:rsid w:val="00F2517A"/>
    <w:rsid w:val="00F71037"/>
    <w:rsid w:val="00F928E3"/>
    <w:rsid w:val="00FA134B"/>
    <w:rsid w:val="00FA1D0F"/>
    <w:rsid w:val="00FC708E"/>
    <w:rsid w:val="00FE0950"/>
    <w:rsid w:val="00FF5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73A52"/>
    <w:pPr>
      <w:widowControl w:val="0"/>
      <w:autoSpaceDE w:val="0"/>
      <w:autoSpaceDN w:val="0"/>
    </w:pPr>
    <w:rPr>
      <w:rFonts w:ascii="Century Gothic" w:eastAsia="Century Gothic" w:hAnsi="Century Gothic" w:cs="Century Gothic"/>
      <w:sz w:val="22"/>
      <w:szCs w:val="22"/>
      <w:lang w:val="es-ES"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473A52"/>
    <w:rPr>
      <w:b/>
      <w:bCs/>
      <w:sz w:val="91"/>
      <w:szCs w:val="91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73A52"/>
    <w:rPr>
      <w:rFonts w:ascii="Century Gothic" w:eastAsia="Century Gothic" w:hAnsi="Century Gothic" w:cs="Century Gothic"/>
      <w:b/>
      <w:bCs/>
      <w:sz w:val="91"/>
      <w:szCs w:val="91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F7103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1037"/>
    <w:rPr>
      <w:rFonts w:ascii="Century Gothic" w:eastAsia="Century Gothic" w:hAnsi="Century Gothic" w:cs="Century Gothic"/>
      <w:sz w:val="22"/>
      <w:szCs w:val="22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F7103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1037"/>
    <w:rPr>
      <w:rFonts w:ascii="Century Gothic" w:eastAsia="Century Gothic" w:hAnsi="Century Gothic" w:cs="Century Gothic"/>
      <w:sz w:val="22"/>
      <w:szCs w:val="22"/>
      <w:lang w:val="es-ES" w:eastAsia="es-ES" w:bidi="es-ES"/>
    </w:rPr>
  </w:style>
  <w:style w:type="paragraph" w:styleId="Prrafodelista">
    <w:name w:val="List Paragraph"/>
    <w:basedOn w:val="Normal"/>
    <w:uiPriority w:val="34"/>
    <w:qFormat/>
    <w:rsid w:val="00795C2F"/>
    <w:pPr>
      <w:widowControl/>
      <w:autoSpaceDE/>
      <w:autoSpaceDN/>
      <w:ind w:left="720"/>
      <w:contextualSpacing/>
    </w:pPr>
    <w:rPr>
      <w:rFonts w:asciiTheme="minorHAnsi" w:eastAsiaTheme="minorHAnsi" w:hAnsiTheme="minorHAnsi" w:cstheme="minorBidi"/>
      <w:sz w:val="24"/>
      <w:szCs w:val="24"/>
      <w:lang w:val="es-ES_tradnl" w:eastAsia="en-US" w:bidi="ar-SA"/>
    </w:rPr>
  </w:style>
  <w:style w:type="paragraph" w:styleId="NormalWeb">
    <w:name w:val="Normal (Web)"/>
    <w:basedOn w:val="Normal"/>
    <w:uiPriority w:val="99"/>
    <w:semiHidden/>
    <w:unhideWhenUsed/>
    <w:rsid w:val="00795C2F"/>
    <w:pPr>
      <w:widowControl/>
      <w:autoSpaceDE/>
      <w:autoSpaceDN/>
      <w:spacing w:before="100" w:beforeAutospacing="1" w:after="100" w:afterAutospacing="1"/>
    </w:pPr>
    <w:rPr>
      <w:rFonts w:ascii="Times New Roman" w:eastAsiaTheme="minorHAnsi" w:hAnsi="Times New Roman" w:cs="Times New Roman"/>
      <w:sz w:val="24"/>
      <w:szCs w:val="24"/>
      <w:lang w:val="es-ES_tradnl" w:eastAsia="es-ES_tradnl" w:bidi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94D3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4D39"/>
    <w:rPr>
      <w:rFonts w:ascii="Tahoma" w:eastAsia="Century Gothic" w:hAnsi="Tahoma" w:cs="Tahoma"/>
      <w:sz w:val="16"/>
      <w:szCs w:val="16"/>
      <w:lang w:val="es-ES" w:eastAsia="es-ES" w:bidi="es-ES"/>
    </w:rPr>
  </w:style>
  <w:style w:type="table" w:styleId="Sombreadoclaro-nfasis3">
    <w:name w:val="Light Shading Accent 3"/>
    <w:basedOn w:val="Tablanormal"/>
    <w:uiPriority w:val="60"/>
    <w:rsid w:val="00AD3291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stamedia2-nfasis3">
    <w:name w:val="Medium List 2 Accent 3"/>
    <w:basedOn w:val="Tablanormal"/>
    <w:uiPriority w:val="66"/>
    <w:rsid w:val="003F797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clara-nfasis3">
    <w:name w:val="Light Grid Accent 3"/>
    <w:basedOn w:val="Tablanormal"/>
    <w:uiPriority w:val="62"/>
    <w:rsid w:val="003F7975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Tablaconcuadrcula">
    <w:name w:val="Table Grid"/>
    <w:basedOn w:val="Tablanormal"/>
    <w:uiPriority w:val="39"/>
    <w:rsid w:val="003F79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73A52"/>
    <w:pPr>
      <w:widowControl w:val="0"/>
      <w:autoSpaceDE w:val="0"/>
      <w:autoSpaceDN w:val="0"/>
    </w:pPr>
    <w:rPr>
      <w:rFonts w:ascii="Century Gothic" w:eastAsia="Century Gothic" w:hAnsi="Century Gothic" w:cs="Century Gothic"/>
      <w:sz w:val="22"/>
      <w:szCs w:val="22"/>
      <w:lang w:val="es-ES"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473A52"/>
    <w:rPr>
      <w:b/>
      <w:bCs/>
      <w:sz w:val="91"/>
      <w:szCs w:val="91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73A52"/>
    <w:rPr>
      <w:rFonts w:ascii="Century Gothic" w:eastAsia="Century Gothic" w:hAnsi="Century Gothic" w:cs="Century Gothic"/>
      <w:b/>
      <w:bCs/>
      <w:sz w:val="91"/>
      <w:szCs w:val="91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F7103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1037"/>
    <w:rPr>
      <w:rFonts w:ascii="Century Gothic" w:eastAsia="Century Gothic" w:hAnsi="Century Gothic" w:cs="Century Gothic"/>
      <w:sz w:val="22"/>
      <w:szCs w:val="22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F7103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1037"/>
    <w:rPr>
      <w:rFonts w:ascii="Century Gothic" w:eastAsia="Century Gothic" w:hAnsi="Century Gothic" w:cs="Century Gothic"/>
      <w:sz w:val="22"/>
      <w:szCs w:val="22"/>
      <w:lang w:val="es-ES" w:eastAsia="es-ES" w:bidi="es-ES"/>
    </w:rPr>
  </w:style>
  <w:style w:type="paragraph" w:styleId="Prrafodelista">
    <w:name w:val="List Paragraph"/>
    <w:basedOn w:val="Normal"/>
    <w:uiPriority w:val="34"/>
    <w:qFormat/>
    <w:rsid w:val="00795C2F"/>
    <w:pPr>
      <w:widowControl/>
      <w:autoSpaceDE/>
      <w:autoSpaceDN/>
      <w:ind w:left="720"/>
      <w:contextualSpacing/>
    </w:pPr>
    <w:rPr>
      <w:rFonts w:asciiTheme="minorHAnsi" w:eastAsiaTheme="minorHAnsi" w:hAnsiTheme="minorHAnsi" w:cstheme="minorBidi"/>
      <w:sz w:val="24"/>
      <w:szCs w:val="24"/>
      <w:lang w:val="es-ES_tradnl" w:eastAsia="en-US" w:bidi="ar-SA"/>
    </w:rPr>
  </w:style>
  <w:style w:type="paragraph" w:styleId="NormalWeb">
    <w:name w:val="Normal (Web)"/>
    <w:basedOn w:val="Normal"/>
    <w:uiPriority w:val="99"/>
    <w:semiHidden/>
    <w:unhideWhenUsed/>
    <w:rsid w:val="00795C2F"/>
    <w:pPr>
      <w:widowControl/>
      <w:autoSpaceDE/>
      <w:autoSpaceDN/>
      <w:spacing w:before="100" w:beforeAutospacing="1" w:after="100" w:afterAutospacing="1"/>
    </w:pPr>
    <w:rPr>
      <w:rFonts w:ascii="Times New Roman" w:eastAsiaTheme="minorHAnsi" w:hAnsi="Times New Roman" w:cs="Times New Roman"/>
      <w:sz w:val="24"/>
      <w:szCs w:val="24"/>
      <w:lang w:val="es-ES_tradnl" w:eastAsia="es-ES_tradnl" w:bidi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94D3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4D39"/>
    <w:rPr>
      <w:rFonts w:ascii="Tahoma" w:eastAsia="Century Gothic" w:hAnsi="Tahoma" w:cs="Tahoma"/>
      <w:sz w:val="16"/>
      <w:szCs w:val="16"/>
      <w:lang w:val="es-ES" w:eastAsia="es-ES" w:bidi="es-ES"/>
    </w:rPr>
  </w:style>
  <w:style w:type="table" w:styleId="Sombreadoclaro-nfasis3">
    <w:name w:val="Light Shading Accent 3"/>
    <w:basedOn w:val="Tablanormal"/>
    <w:uiPriority w:val="60"/>
    <w:rsid w:val="00AD3291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stamedia2-nfasis3">
    <w:name w:val="Medium List 2 Accent 3"/>
    <w:basedOn w:val="Tablanormal"/>
    <w:uiPriority w:val="66"/>
    <w:rsid w:val="003F797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clara-nfasis3">
    <w:name w:val="Light Grid Accent 3"/>
    <w:basedOn w:val="Tablanormal"/>
    <w:uiPriority w:val="62"/>
    <w:rsid w:val="003F7975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Tablaconcuadrcula">
    <w:name w:val="Table Grid"/>
    <w:basedOn w:val="Tablanormal"/>
    <w:uiPriority w:val="39"/>
    <w:rsid w:val="003F79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04C9EC8-0791-44A7-AB09-287683483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7</Pages>
  <Words>995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Microsoft Office</dc:creator>
  <cp:lastModifiedBy>INEC Natali Mendoza</cp:lastModifiedBy>
  <cp:revision>11</cp:revision>
  <dcterms:created xsi:type="dcterms:W3CDTF">2018-06-22T13:13:00Z</dcterms:created>
  <dcterms:modified xsi:type="dcterms:W3CDTF">2018-06-29T21:07:00Z</dcterms:modified>
</cp:coreProperties>
</file>